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E-1426/2015 vom 23. Februar 2017</w:t>
      </w:r>
    </w:p>
    <w:p>
      <w:r>
        <w:t>Bundesverwaltungsgericht, 2017-02-23, DE</w:t>
      </w:r>
    </w:p>
    <w:p>
      <w:r>
        <w:rPr>
          <w:b/>
        </w:rPr>
        <w:t xml:space="preserve">Quelle: </w:t>
      </w:r>
      <w:r>
        <w:t>https://mcp.opencaselaw.ch/entscheid/bvger_E-1426_2015</w:t>
      </w:r>
    </w:p>
    <w:p>
      <w:r>
        <w:t>FR: TAF E-1426/2015 du 23 février 2017</w:t>
      </w:r>
    </w:p>
    <w:p>
      <w:r>
        <w:t>IT: TAF E-1426/2015 del 23 febbraio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3.3</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3.4</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FK relativiert (vgl. Art. 3 Abs. 4 in fine AsylG).</w:t>
      </w:r>
    </w:p>
    <w:p>
      <w:r>
        <w:rPr>
          <w:b/>
        </w:rPr>
        <w:t>E. 4.1</w:t>
      </w:r>
    </w:p>
    <w:p>
      <w:r>
        <w:t>Die Vorinstanz begründete ihre ablehnende Verfügung im Wesentlichen damit, bezüglich der geltend gemachten politischen Tätigkeit des Beschwerdeführers gehe sie davon aus, dass sich die iranischen Behörden auf Personen konzentrierten, die als ernsthafte und gefährliche Regimegegner wahrgenommen würden. Die im ersten Asylverfahren vorgebrachten Vorfluchtgründe - die geltend gemachten politischen Aktivitäten und die daraus angeblich erfolgten Verfolgungsmassnahmen - seien sowohl vom vormaligen Bundesamt für Migration (BFM) als auch vom Bundesverwaltungsgericht als nicht glaubhaft erachtet worden. Folglich sei der Beschwerdeführer den iranischen Behörden nicht als Aktivist bekannt gewesen. Das SEM gehe zudem davon aus, dass die iranischen Behörden zu differenzieren wissen würden zwischen tatsächlichen, engagierten Regimegegnern aus innerer Überzeugung und Exilaktivisten, die, wie der Beschwerdeführer, im Iran nicht politisch aktiv und somit nicht im behördlichen Visier gewesen seien. Zwar mache er geltend, er würde heute ein hohes exilpolitisches Engagement aufweisen. Die von ihm eingereichten Unterlagen würden sich jedoch auf allgemein bekannte Entwicklungen und Ereignisse im Iran konzentrieren und damit nicht über die allgemein bekannten exilpolitischen Formen des Protestes hinausgehen. Im Weiteren habe er sich erst nach dem negativen Ausgang des ersten Asylverfahrens exilpolitisch zu betätigen begonnen, was aufgrund der fehlenden Vorfluchtgründe die innere Überzeugung seiner vorgebrachten exilpolitischen Aktivitäten zusätzlich in Zweifel ziehen würde. Dass sich zahlreiche in Westeuropa aufhaltende Personen aus dem Iran aus diesem Grund exilpolitisch betätigten, sei den iranischen Behörden bekannt. Diese könnten zwischen derartigen vordergründigen Tätigkeiten und einem echten politischen Engagement aus innerer Überzeugung unterscheiden. Die vom Beschwerdeführer vorgebrachten Aktivitäten würden praxisgemäss keine Furcht vor Verfolgung im Sinne von Art. 3 AsylG begründen. Schliesslich sei aufgrund der riesigen Datenmenge im Internet eine umfassende Überwachung seitens der iranischen Behörden unwahrscheinlich. Eine solche würde sich auf Personen beschränken, die innerlich überzeugt und damit ernst zu nehmende Regimegegner seien und deshalb ein für den Staat als politisch gefährlich eingestuftes Profil aufweisen würden. Der Beschwerdeführer weise kein solches Profil auf.</w:t>
      </w:r>
    </w:p>
    <w:p>
      <w:r>
        <w:rPr>
          <w:b/>
        </w:rPr>
        <w:t>E. 4.2</w:t>
      </w:r>
    </w:p>
    <w:p>
      <w:r>
        <w:t>Der Beschwerdeführer hält dazu in seiner Rechtsmitteleingabe fest, er habe bereits in der Jugend ein politisches Verständnis entwickelt und sich für ein Studium der internationalen Beziehungen entschieden. Auch wenn in den bisherigen Verfahren seine Vorbringen als unglaubhaft bezeichnet worden seien, halte er daran fest, dass er im Iran wegen Teilnahme an einer Demonstration verfolgt worden sei. Er habe sich noch vor Abschluss des ersten Asylverfahrens anfangs September 2011 als aktives Mitglied der DVF angeschlossen. Sein Einsatz sei von Jahr zu Jahr grösser geworden. Aufgrund seines Bildungshintergrundes habe er verantwortungsvollere Aufgaben übernommen. Seine Funktionen bei der DVF wurden im Gesuch vom 14. Januar 2015 (recte: 5. Januar 2015) aufgeführt (im Internet publizierte Artikel, Verantwortlichkeiten bei der Website der DVF, Radiomoderator des Programms "(...)", etc.). Aufgrund dieser rund dreieinhalbjährigen Tätigkeit habe er eine zentrale Funktion mit verschiedenen Verantwortlichkeiten innerhalb der DVF inne und weise somit ein klares Profil auf. Es hätten verschiedene Personen erst im Ausland gewagt, das iranische Regime anzugreifen, weshalb ihnen in der Folge einzig wegen Nachfluchtgründen die Flüchtlingseigenschaft zuerkannt worden sei. Die Feststellungen der Vorinstanz seien pauschal. Der Beschwerdeführer sei ein wichtiges Mitglied der DVF. Hätte sich die Vorinstanz mit dem Inhalt seiner Äusserungen befasst und ihn persönlich angehört, wäre ihr die Schärfe und Vielschichtigkeit seiner Kritik am iranischen Regime nicht verborgen geblieben. Schliesslich verweist der Beschwerdeführer auf mehrere Entscheide des Bundesverwaltungsgerichts, des UNO-Ausschuss gegen Folter (CAT) und des Europäischen Gerichtshofs für Menschenrechte (EGMR). Zudem falle er verglichen mit anderen Mitgliedern der DVF, welchen die Flüchtlingseigenschaft zugesprochen worden sei, unterdessen in die Kategorie jener, welche über ein ausgeprägtes Profil verfügen würden. Deren Akten seien beizuziehen. Aus diesen Gründen sei der Beschwerdeführer als Flüchtling anzuerkennen.</w:t>
      </w:r>
    </w:p>
    <w:p>
      <w:r>
        <w:rPr>
          <w:b/>
        </w:rPr>
        <w:t>E. 4.3</w:t>
      </w:r>
    </w:p>
    <w:p>
      <w:r>
        <w:t>Die Vorinstanz hielt in ihrer Vernehmlassung an ihrem Standpunkt fest. Dabei wies sie darauf hin, dass die exilpolitischen Aktivitäten des Beschwerdeführers, wie sie auf Beschwerdeebene erneut vorgebracht worden seien, bereits in den Verfügungen des SEM vom 7. Februar 2014 und 30. Januar 2015 und insbesondere auch im Urteil des Bundesverwaltungsgerichts vom 9. April 2014 eingehend gewürdigt worden seien. Es würden sich keine konkreten Hinweise darauf ergeben, dass die iranischen Behörden gegen den Beschwerdeführer zwischenzeitlich Massnahmen in die Wege geleitet oder von seinen vorgebrachten Aktivitäten zur Kenntnis genommen hätten.</w:t>
      </w:r>
    </w:p>
    <w:p>
      <w:r>
        <w:rPr>
          <w:b/>
        </w:rPr>
        <w:t>E. 4.4</w:t>
      </w:r>
    </w:p>
    <w:p>
      <w:r>
        <w:t>In seiner Replik hält der Beschwerdeführer dem entgegen, die Vor-instanz habe wesentliche politische Aktivitäten, die er seit Anfang 2014 respektive Anfang 2015 ausgeführt habe, nicht beachtet. Diese würden durch die eingereichten Unterlagen untermauert.</w:t>
      </w:r>
    </w:p>
    <w:p>
      <w:r>
        <w:rPr>
          <w:b/>
        </w:rPr>
        <w:t>E. 5.1</w:t>
      </w:r>
    </w:p>
    <w:p>
      <w:r>
        <w:t>Das Bundesverwaltungsgericht geht in ständiger Rechtsprechung davon aus, dass die iranischen Behörden politische Aktivitäten ihrer Staatsbürger im Ausland überwachen und erfassen (vgl. dazu Referenzurteil D-830/2016 vom 20. Juli 2016 sowie Urteile des Bundesverwaltungsgerichts E-5292/2014 und E 5296/2014 vom 25. Februar 2016 E. 7.4 m.w.H.). Es bleibt jedoch im Einzelfall zu prüfen, ob die exilpolitischen Aktivitäten bei einer allfälligen Rückkehr in den Iran mit überwiegender Wahrscheinlichkeit ernsthafte Nachteile im asylrechtlichen Sinn nach sich ziehen. Bei dieser Prüfung ist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Der EGMR geht ebenfalls davon aus, dass eine möglicherweise drohende Verletzung von Art. 3 EMRK jeweils aufgrund der persönlichen Situation des Beschwerdeführers zu beurteilen ist. Die Berichte über schwerwiegende Menschenrechtsverletzungen im Iran begründen für sich allein noch keine Gefahr einer unmenschlichen Behandlung (vgl. Urteil des EGMR S.F. und andere gegen Schweden vom 15. Mai 2012, 52077/10, §§ 63 f.).</w:t>
      </w:r>
    </w:p>
    <w:p>
      <w:r>
        <w:rPr>
          <w:b/>
        </w:rPr>
        <w:t>E. 5.2</w:t>
      </w:r>
    </w:p>
    <w:p>
      <w:r>
        <w:t>Zunächst ist festzuhalten, dass sich die Vorbringen des Beschwerdeführers hinsichtlich seiner Verfolgungssituation im Heimatstaat, wie in den vorangehenden Verfahren rechtskräftig festgestellt worden ist, als unglaubhaft erwiesen haben, weshalb auf den erneuten Hinweis, wegen seiner Teilnahme an einer Demonstration im Iran verfolgt worden zu sein, nicht näher einzugehen ist.</w:t>
      </w:r>
    </w:p>
    <w:p>
      <w:r>
        <w:rPr>
          <w:b/>
        </w:rPr>
        <w:t>E. 5.3</w:t>
      </w:r>
    </w:p>
    <w:p>
      <w:r>
        <w:t>Die gemäss oben skizzierter Rechtsprechung des Bundesverwaltungsgerichts geforderte Exponiertheit ist im Falle des Beschwerdeführers zu verneinen. Bei der Beurteilung des Risikoprofils ist in erster Linie weder die Funktionsbezeichnung eines exilpolitischen Aktivisten noch seine Betriebsamkeit, sondern dessen tatsächliches Wirken in Bezug auf eine gezielte und wirksame Veränderung der politischen Verhältnisse im Heimatland massgeblich. Aus den im dritten Asylgesuch eingereichten Unterlagen geht hervor, dass der Beschwerdeführer seit dem zweiten Asylverfahren neu die Hauptverantwortung der Webseite der DVF trägt. Diese Verantwortung scheint sich indessen kaum von seiner früheren Mitarbeit bei der Webseite zu unterscheiden, als er in einem fünfköpfigen Team (im Zeitpunkt des zweiten Asylgesuches) "lediglich" Mitverantwortlicher der Webseite der DVF (Sammlung und Veröffentlichung von politischen Nachrichten) gewesen sei. Eine eigentliche oder gar gewichtige Entscheidungsbefugnis innerhalb der DVF kommt ihm damit jedenfalls nicht zu und ergibt sich auch nicht aus den eingereichten Unterlagen. Eine wesentliche Schärfung seines Profils kann aus dem Umstand, wonach er seit (...) 2015 in monatlichen Abständen an Sendungen als Nachrichtensprecher beteiligt gewesen sei (vgl. Zeitpläne Radio "(...)"), nicht entnommen werden. So geht aus dem Verlesen von Nachrichten kein exponiertes oppositionelles Engagement hervor. Dasselbe gilt für die vom Beschwerdeführer gemachten Äusserungen zum politischen Geschehen im Iran auf seiner Facebook-Seite, handelt es sich dabei doch um allgemein formulierte regimekritische Beiträge, die sich auf das Darstellen von Ereignissen beziehungsweise Anprangern von Missständen im Iran limitieren. Diese Äusserungen sind folglich aufgrund der gesamten Umstände nicht geeignet, um bei ihm das Profil eines exponierten Regierungsgegners bejahen zu können, welcher für die iranischen Machthaber als gefährliche Person beziehungsweise von diesen als Gefahr für ihr politisches Gefüge eingestuft werden müsste (vgl. BVGE 2009/28). Im Weiteren kann den im vorliegenden Beschwerdeverfahren eingereichten Fotos, auf denen der Beschwerdeführer an verschiedenen Demonstrationen abgebildet ist, auch keine erhöhte Gefährdungslage abgeleitet werden, zumal daraus nicht hervorgeht, er hätte dabei je eine spezielle Funktion innegehabt. Ferner sind die auf Beschwerdeebene eingereichten Bestätigungsschreiben von Funktionären der Komala und der PDKI Schweiz vom (...) 2015 und vom (...) 2015 nicht geeignet, eine Gefährdung des Beschwerdeführers im Iran als überwiegend wahrscheinlich erscheinen zu lassen. Indem im Schreiben der Komala von politischen Aktivitäten des Beschwerdeführers im Iran berichtet wird, wurden diese in den vorangegangenen Verfahren als unglaubhaft bezeichnet. Aus diesen Gründen weist dieses Schreiben lediglich Gefälligkeitscharakter auf. Schliesslich vermag der Beschwerdeführer auch aus den angerufenen Entscheiden des EGMR und des CAT nichts zu seinen Gunsten abzuleiten. Gemäss dem zitierten EGMR-Urteil S.F. und andere gegen Schweden, a.a.O., setzt die Annahme eines "real risk" einer Misshandlung bei exilpolitischen Aktivitäten eine nicht unerhebliche Exponiertheit voraus. So haben die entsprechenden Personen regelmässig an politischen Aktivitäten von gewisser Wichtigkeit teilgenommen und sind mit Fotos und Namen im Internet und TV-Sendungen erschienen, anlässlich welcher sie ihrer Meinung zur Menschenrechtslage im Iran und ihrer Regimekritik Ausdruck verliehen. Dabei hatten sie Führungspositionen inne, indem einer etwa Sprecher eines europäischen Komitees für die Unterstützung kurdischer Gefangener und Menschenrechte im Iran gewesen ist. Zudem publizierten sie ihre individuelle Meinung in diversen Artikeln, welche auf prominenten kurdischen Internetseiten aufgeschaltet wurden. Der EGMR schliesst mit der Bemerkung, dass diese extensive und ernstgemeinte politische Aktivität für die Beurteilung eines "real risk" von Relevanz sei (vgl. Urteil S.F. und andere gegen Schweden, a.a.O., § 68). Damit wird deutlich zum Ausdruck gebracht, dass auch der EGMR eine Exponierung verlangt (vgl. Referenz-Urteil D-830/2016 E. 4.3). Genauso deutlich zeigt sich, dass sich die sachverhaltlichen Grundlagen des vorliegenden Falles nicht mit demjenigen des EGMR-Entscheids vergleichen lassen, zumal in Letzterem ein fundamental anderes beziehungsweise exponierteres exilpolitisches Wirken zu beurteilen war. Implizit scheint auch das CAT im Entscheid vom 8. Dezember 2014, 489/2012 § 7.6 eine gewisse Exponiertheit vorauszusetzen, indem es von der Annahme ausging, der entsprechende Kantonsverantwortliche nehme nicht nur administrative Aufgaben wahr, sondern gehöre zum Leitungsorgan der DVF. Dabei bleibt allerdings unklar, welche weiterführenden Aktivitäten das CAT genau für massgebend erachtete. Auch daraus kann der Beschwerdeführer nichts zu seinen Gunsten ableiten, zumal das Bundesverwaltungsgericht weiterhin - wie auch der EGMR - eine Exponierung voraussetzt, welche die betreffende Person als ernsthaften und gefährlichen Regimegegner erscheinen lässt. Dies ist im Falle des Beschwerdeführers jedoch zu verneinen.</w:t>
      </w:r>
    </w:p>
    <w:p>
      <w:r>
        <w:rPr>
          <w:b/>
        </w:rPr>
        <w:t>E. 5.4</w:t>
      </w:r>
    </w:p>
    <w:p>
      <w:r>
        <w:t>Soweit in der Beschwerdeschrift unter Hinweis auf die Auskunft der Länderanalyse der SFH über Iran vom 18. August 2011 einwendet, bei einer Rückkehr in den Iran ins Visier der iranischen Behörden zu geraten, ist auf die Praxis des Bundesverwaltungsgerichts hinzuweisen, wonach allein aufgrund der Ausreise oder des Stellens eines Asylgesuchs im Ausland keine flüchtlingsrechtlich erhebliche Verfolgung im Iran zu befürchten ist (vgl. BVGE 2009/28 E. 7.4.4 S. 367). Es liegen diesbezüglich keine anderslautenden Hinweise dafür vor, wonach sich dies seit dem Amtsantritt von Hassan Rohani als Staatspräsident geändert hätte.</w:t>
      </w:r>
    </w:p>
    <w:p>
      <w:r>
        <w:rPr>
          <w:b/>
        </w:rPr>
        <w:t>E. 5.5</w:t>
      </w:r>
    </w:p>
    <w:p>
      <w:r>
        <w:t>Zusammenfassend ist festzustellen, dass die geltend gemachten subjektiven Nachfluchtgründe nicht geeignet sind, eine flüchtlingsrechtlich relevante Verfolgungsfurcht zu begründen, weshalb der Beschwerdeführer nicht als Flüchtling anerkannt werden kann. An dieser Einschätzung vermögen weder die weiteren Ausführungen in den Eingaben noch die eingereichten Beweismittel etwas zu ändern, weshalb darauf verzichtet werden kann, weiter darauf einzugehen. Die Vorinstanz hat die Flüchtlingseigenschaft demnach zu Recht verneint.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der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Iran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Die allgemeine Lage im Iran zeichnet sich nicht durch eine Situation allgemeiner Gewalt aus, obwohl die Staatsordnung als totalitär zu bezeichnen ist und die allgemeine Situation in verschiedener Hinsicht problematisch sein kann (vgl. statt vieler Urteil des Bundesverwaltungsgericht D-4065/2016 vom 26. Oktober 2016 E. 9.4.1). Selbst unter Berücksichtigung dieser Umstände wird der Vollzug der Wegweisung in den Iran nach konstanter Praxis als zumutbar erachtet.</w:t>
      </w:r>
    </w:p>
    <w:p>
      <w:r>
        <w:rPr>
          <w:b/>
        </w:rPr>
        <w:t>E. 7.4.2</w:t>
      </w:r>
    </w:p>
    <w:p>
      <w:r>
        <w:t>Aufgrund der Akten besteht kein Grund zur Annahme, der Beschwerdeführer gerate im Falle einer Rückkehr in den Iran aus individuellen Gründen wirtschaftlicher, sozialer oder gesundheitlicher Natur in eine existenzbedrohende Situation, die den Vollzug der Wegweisung unzumutbar machen würde. Er ist jung und verfügt über einen Universitätsabschluss sowie Berufserfahrungen als (...) eines eigenen (...)unternehmens. Es ist nicht in Abrede zu stellen, dass er bei einer Rückkehr in seinen Heimatstaat aufgrund der fünfeinhalbjährigen Landesabwesenheit mit Anfangsschwierigkeiten konfrontiert sein könnte. Indessen leben seine Eltern und mehrere Geschwister weiterhin in seinem Heimatland (vgl. Akte A6 S. 2ff). Er verfügt somit im Iran über ein familiäres Beziehungsnetz, auf das er zurückgreifen kann und das ihm mindestens anfänglich beim Neuaufbau einer Existenz Hilfe bieten kann.</w:t>
      </w:r>
    </w:p>
    <w:p>
      <w:r>
        <w:rPr>
          <w:b/>
        </w:rPr>
        <w:t>E. 7.4.3</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25. März 2015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