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E-1415/2021 vom 24. August 2021</w:t>
      </w:r>
    </w:p>
    <w:p>
      <w:r>
        <w:t>Bundesverwaltungsgericht, 2021-08-24, DE</w:t>
      </w:r>
    </w:p>
    <w:p>
      <w:r>
        <w:rPr>
          <w:b/>
        </w:rPr>
        <w:t xml:space="preserve">Quelle: </w:t>
      </w:r>
      <w:r>
        <w:t>https://mcp.opencaselaw.ch/entscheid/bvger_E-1415_2021</w:t>
      </w:r>
    </w:p>
    <w:p>
      <w:r>
        <w:t>FR: TAF E-1415/2021 du 24 août 2021</w:t>
      </w:r>
    </w:p>
    <w:p>
      <w:r>
        <w:t>IT: TAF E-1415/2021 del 24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(vgl. Art. 7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4.1</w:t>
      </w:r>
    </w:p>
    <w:p>
      <w:r>
        <w:t>Zur Begründung des ablehnenden Asylentscheids führte das SEM im Wesentlichen aus, die geltend gemachten Verfolgungsvorbringen würden den Anforderungen von Art. 3 AsylG an die flüchtlingsrechtliche Beachtlichkeit nicht genügen. In den Strafverfahren könnten vorliegend keine unrechtsstaatlichen Vorgehensweisen der Justiz erkannt werden und allfällige behördliche Massnahmen im Zusammenhang mit der Militärdienstverweigerung seien legitim. Die Furcht vor weiteren, eine genügende Intensität aufweisenden Benachteiligungen sei trotz behördlicher Erkundigungen nach dem Beschwerdeführer zumindest objektiv nicht hinreichend begründet; zudem würde es sich um lokal oder regional beschränkte Massnahmen handeln, denen er innerstaatlich ausweichen könne. Er erfülle daher die Flüchtlingseigenschaft nicht. Die gesetzliche Regelfolge der Ablehnung des Asylgesuchs sei die Wegweisung aus der Schweiz. Der Wegweisungsvollzug sei zulässig, zumutbar und möglich. Für die detaillierte Begründung wird auf die Akten verwiesen.</w:t>
      </w:r>
    </w:p>
    <w:p>
      <w:r>
        <w:rPr>
          <w:b/>
        </w:rPr>
        <w:t>E. 4.2</w:t>
      </w:r>
    </w:p>
    <w:p>
      <w:r>
        <w:t>In seiner Rechtsmitteleingabe macht der Beschwerdeführer in verfahrensrechtlicher Hinsicht geltend, seine Rechtsvertreterin habe am 15. März 2021 - mithin kurz nach der Mandatierung - die Akten beim SEM bestellt, diese aber erst am 26. März 2021 und somit unmittelbar vor Ablauf der Beschwerdefrist erhalten. Zudem habe die Vertreterin explizit um Einsicht in alle Akten gebeten, inklusive die dem Mandanten bekannten Aktenstücke. Dennoch habe das SEM mit der Begründung der Verfahrensökonomie die bekannten Akten nicht zugestellt. Das Beschwerderecht sei dadurch erschwert und die Einsichtsgewährung sei rechtskonform nachzuholen. Im Weiteren rügt der Beschwerdeführer eine Verletzung der vorinstanzlichen Pflicht zur vollständigen und richtigen Abklärung des Sachverhalts, indem das SEM insbesondere das eingereichte und entscheidwesentliche Anwaltsschreiben vom 4. Oktober 2018 gänzlich unerwähnt belassen und ferner nicht nach seinen exilpolitischen Aktivitäten in der Schweiz gefragt habe. Im Übrigen wiederholt, bekräftigt und ergänzt der Beschwerdeführer den bislang geltend gemachten und vom SEM erfassten Sachverhalt und stützt diesen mit weiteren Beweismitteln. Sodann wendet er sich argumentativ gegen die in der angefochtenen Verfügung vorgenommene rechtliche Würdigung im Asyl- und Wegweisungs- beziehungsweise Vollzugspunkt und leitet daraus einen Anspruch auf Gewährung der Flüchtlingseigenschaft, des Asyls oder zumindest der vorläufigen Aufnahme ab. Für diese Teile der Beschwerde und die hierfür vorgelegten Beweismittel wird auf die Akten verwiesen.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5.2</w:t>
      </w:r>
    </w:p>
    <w:p>
      <w:r>
        <w:t>Das Bundesverwaltungsgericht erachtet die genannten Grundsätze vorliegend zumindest teilweise als verletzt: Das SEM hat der damaligen Rechtsvertretung zusammen mit dem angefochtenen Entscheid bereits Akteneinsicht gewährt. Dass es dabei aus prozessökonomischen und ökologischen Gründen auf die Edition von deklarierten unwesentlichen und dem Beschwerdeführer bekannten Akten verzichtet hat, ist in keiner Weise zu beanstanden. Der Beschwerdeführer hat aber dennoch ein Recht auf Einsicht in unwesentliche Akten und gestützt auf Art. 27 Abs. 3 VwVG ebenso ein uneingeschränktes Recht auf Einsicht in von ihm selber zu den Akten gegebene und somit bekannte Dokumente. Nach dieser Bestimmung darf insbesondere die Einsichtnahme in eigene Eingaben einer Partei und in ihre als Beweismittel eingereichten Urkunden nicht verweigert werden. Diesem Anspruch ist seitens der entscheidenden Behörde spätestens dann nachzukommen, wenn - wie vorliegend mittels Schreiben vom 15. März 2021 - ausdrücklich um Einsicht in sämtliche Akten ersucht wird und dabei gar explizit auch die dem Beschwerdeführer bekannten Akten hervorgehoben werden. Der standardisierte Inhalt der Zwischenverfügung des SEM vom 24. März 2021, wonach für den Fall, dass explizit auch Einsicht in für den Entscheid unwesentliche oder dem Beschwerdeführer bereits bekannte Akten Einsicht verlangt werde, das SEM zu kontaktieren sei, ist vor diesem Hintergrund nicht nachvollziehbar. Dass damit das Beschwerderecht des Beschwerdeführers in nicht hinnehmbarer Weise beschnitten und eine seriöse Mandatsführung durch die Rechtsvertreterin weitgehend verunmöglicht wird, zeigt sich schon in Anbetracht des Umstandes, dass der Beschwerdeführer im Verlaufe des erstinstanzlichen Verfahrens eine Fülle von Beweismitteln (darunter umfangreiche Gerichtsakten) abgegeben hat. Die blosse Offenlegung des Beweismittelverzeichnisses (vorinstanzliche Akte A12) reicht klar nicht. Es kann vom Beschwerdeführer nicht verlangt werden, die von ihm vorgelegten Dokumente nur noch aus dem Kopf abzurufen. An der gewonnenen Erkenntnis einer ungenügenden Akteneinsichtsgewährung und mithin einer Verletzung des Anspruchs auf rechtliches Gehör ändert im Übrigen der Umstand nichts, dass der Beschwerdeführer für die knapp gewordene Beschwerdefrist eine Mitverantwortung trägt, indem er seine neue Rechtsvertreterin erst nach Ablauf der Hälfte der Beschwerdefrist mandatiert hat und diese zunächst ein Gesuch um weitergehende Akteneinsicht stellen musste.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unter restriktiven Voraussetzungen möglich. Der Beschwerdeführer hat in seiner Rechtsmitteleingabe (dort S. 3 oben) für eine solche Möglichkeit selber Hand geboten und die Variante einer Beschwerdeergänzung nach verbesserter Akteneinsichtsgewährung durch das SEM erwähnt. Die Frage einer allfällig möglichen Heilung des Verfahrensmangels hat sich aber durch die Tatsache erledigt, dass das SEM im Rahmen des Vernehmlassungsverfahrens weder innert der angesetzten noch innert der grosszügig erstreckten Frist auf die betreffende Rüge des Beschwerdeführers und dessen erneutes Einsichtsgesuch reagiert hat. Dem Bundesverwaltungsgericht selber ist es grundsätzlich verwehrt, eine erweiterte Einsicht in die N-Akten zu gewähren, da es sich um Akten der Vorinstanz und mithin um fremde Akten handelt.</w:t>
      </w:r>
    </w:p>
    <w:p>
      <w:r>
        <w:rPr>
          <w:b/>
        </w:rPr>
        <w:t>E. 5.3</w:t>
      </w:r>
    </w:p>
    <w:p>
      <w:r>
        <w:t>Zusammenfassend ist festzustellen, dass das SEM den Anspruch des Beschwerdeführers auf Wahrung des rechtlichen Gehörs insbesondere in der Erscheinungsform des bundesrechtlichen Akteneinsichtsrechts verletzt hat, eine Heilung des Verfahrensmangels auf Beschwerdestufe vorliegend ausser Betracht fällt und die angefochtene Verfügung somit aufzuheben ist. Das SEM ist im Rahmen des wiederaufzunehmenden erstinstanzlichen Verfahrens gehalten, dem Anspruch des Beschwerdeführers auf rechtsgenügliche Akteneinsicht in geeigneter Weise nachzukommen und unter Mitberücksichtigung der Beschwerdeakten neu zu verfügen. In diesem Zusammenhang ist darauf hinzuweisen, dass der in Art. 27 Abs. 3 VwVG verwendete Wortlaut eines gerechtfertigten Einsichtsverweigerungsrechts "nur bis zum Abschluss der Untersuchung" sinnvollerweise nur heissen kann, dass - falls wie in casu nunmehr vorgängig ein Einsichtsantrag gestellt wurde - im Anschluss an die Untersuchung und vor Ergehen des neuen Entscheids die Einsicht zu gewähren ist. So hat die gesuchstellende Person die Möglichkeit (mit oder ohne formelle Fristansetzung) Ergänzungen, Berichtigungen, oder Stellungnahmen anderer Art noch einzubringen und damit womöglich einen unrichtigen Entscheid der Behörde und damit ein unnötiges Beschwerdeverfahren zu vermeiden (vgl. dazu z.B. auch das Urteil des BVGer E-777/2020 vom 10. März 2020 E. 4.3.1). Auf die weitere formelle Rüge einer Verletzung der vorinstanzlichen Pflicht zur vollständigen und richtigen Abklärung des Sachverhalts sowie auf den weiteren Beschwerdeinhalt ist einstweilen nicht weiter einzugehen. Die betreffenden Ausführungen sind jedoch vom SEM im Rahmen des wiederaufzunehmenden erstinstanzlichen Verfahrens ebenfalls zur Kenntnis zu nehmen.</w:t>
      </w:r>
    </w:p>
    <w:p>
      <w:r>
        <w:rPr>
          <w:b/>
        </w:rPr>
        <w:t>E. 6.1</w:t>
      </w:r>
    </w:p>
    <w:p>
      <w:r>
        <w:t>Bei diesem Ausgang des Verfahrens sind dem ohnehin unentgeltliche Prozessführung geniessenden Beschwerdeführer keine Kosten zu aufzuerlegen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betreffend den Kassationsantrag notwendigerweise erwachsenen und verhältnismässig hohen Parteikosten zuzusprechen. Die Rechtsvertreterin präsentiert mit der Beschwerde eine Honorarnote mit einem Zeitaufwand von 15 Stunden und 30 Minuten bei einem Stundenansatz von Fr. 200.- zuzüglich Auslagen im Betrag von Fr. 392.60 (inkl. Übersetzungskosten); total Fr. 3'492.60. Der Gesamtbetrag ist um Fr. 100.- zu reduzieren, da der betreffende Posten «E-Mail Austausch/Akten» mit «0 h 00 min» ausgewiesen wird. Der Zeitaufwand erscheint auch abgesehen davon überhöht. Gestützt auf die in Betracht zu ziehenden Bemessungsfaktoren (Art. 8-13 VGKE) ist dem Beschwerdeführer zu Lasten der Vorinstanz eine Parteientschädigung von insgesamt Fr. 2'500.-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