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E-1413/2015 vom 11. Juni 2015</w:t>
      </w:r>
    </w:p>
    <w:p>
      <w:r>
        <w:t>Bundesverwaltungsgericht, 2015-06-11, FR</w:t>
      </w:r>
    </w:p>
    <w:p>
      <w:r>
        <w:rPr>
          <w:b/>
        </w:rPr>
        <w:t xml:space="preserve">Quelle: </w:t>
      </w:r>
      <w:r>
        <w:t>https://mcp.opencaselaw.ch/entscheid/bvger_E-1413_2015</w:t>
      </w:r>
    </w:p>
    <w:p>
      <w:r>
        <w:t>FR: TAF E-1413/2015 du 11 juin 2015</w:t>
      </w:r>
    </w:p>
    <w:p>
      <w:r>
        <w:t>IT: TAF E-1413/2015 del 11 giugno 2015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1'200 francs, sont mis à la charge de la recourante. Ce montant doit être compensé avec l'avance de frais déjà versée le 30 mai 2015.</w:t>
      </w:r>
    </w:p>
    <w:p>
      <w:r>
        <w:rPr>
          <w:b/>
        </w:rPr>
        <w:t>E. 3</w:t>
      </w:r>
    </w:p>
    <w:p>
      <w:r>
        <w:t>Le présent arrêt est adressé à la recourante, au SEM et à l'autorité cantonale compétente. La juge unique : Le greffier : Emilia Antonioni Luftensteiner Arun Bolkensteyn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