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E-1412/2021 vom 22. August 2024</w:t>
      </w:r>
    </w:p>
    <w:p>
      <w:r>
        <w:t>Bundesverwaltungsgericht, 2024-08-22, FR</w:t>
      </w:r>
    </w:p>
    <w:p>
      <w:r>
        <w:rPr>
          <w:b/>
        </w:rPr>
        <w:t xml:space="preserve">Quelle: </w:t>
      </w:r>
      <w:r>
        <w:t>https://mcp.opencaselaw.ch/entscheid/bvger_E-1412_2021</w:t>
      </w:r>
    </w:p>
    <w:p>
      <w:r>
        <w:t>FR: TAF E-1412/2021 du 22 août 2024</w:t>
      </w:r>
    </w:p>
    <w:p>
      <w:r>
        <w:t>IT: TAF E-1412/2021 del 22 agosto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du 29 mars 2021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E-1412/2021 Page 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de mesures déterminantes selon l'art. 3 LAsi dans un avenir peu éloigné et selon une haute probabilité. Il ne suffit pas dans cette optique de se référer à des menaces hypothétiques, qui pourraient se produire dans un avenir plus ou moins lointain (cf. ATAF 2011/50 consid. 3.1.1).</w:t>
      </w:r>
    </w:p>
    <w:p>
      <w:r>
        <w:rPr>
          <w:b/>
        </w:rPr>
        <w:t>E. 3.2</w:t>
      </w:r>
    </w:p>
    <w:p>
      <w:r>
        <w:t>Quiconque demande l’asile (requérant) doit prouver ou du moins rendre vraisemblable qu'il est un réfugié (art. 7 al. 1 LAsi).</w:t>
      </w:r>
    </w:p>
    <w:p>
      <w:r>
        <w:t>E-1412/2021 Page 7</w:t>
      </w:r>
    </w:p>
    <w:p>
      <w:r>
        <w:rPr>
          <w:b/>
        </w:rPr>
        <w:t>E. 4.1</w:t>
      </w:r>
    </w:p>
    <w:p>
      <w:r>
        <w:t>En l’occurrence, l’intéressé n’a pas été en mesure de faire apparaître la pertinence de ses motifs d’asile, ni le bien-fondé d’une crainte de persécution réfléchie.</w:t>
      </w:r>
    </w:p>
    <w:p>
      <w:r>
        <w:rPr>
          <w:b/>
        </w:rPr>
        <w:t>E. 4.2</w:t>
      </w:r>
    </w:p>
    <w:p>
      <w:r>
        <w:t>Il y a lieu de préciser à titre liminaire que s’il a indiqué dans sa décision qu’il se dispensait d’examiner la vraisemblance des propos de l’intéressé, le SEM a en réalité procédé à un tel examen, menant une appréciation sous cet angle en ce qui concerne la question de la crainte fondée de persécutions à venir. Nonobstant cette contradiction manifeste, rien n’indique que le recourant n’est pas parvenu à saisir correctement les tenants et aboutissants de la décision querellée et à prendre position sur celle-ci.</w:t>
      </w:r>
    </w:p>
    <w:p>
      <w:r>
        <w:rPr>
          <w:b/>
        </w:rPr>
        <w:t>E. 4.3.1</w:t>
      </w:r>
    </w:p>
    <w:p>
      <w:r>
        <w:t>C’est d’abord à bon droit que le SEM a estimé que ses déclarations selon lesquelles il serait menacé ainsi que recherché par le commandant K._______, l’accusant d’être responsable de la découverte d’un dépôt d’armes appartenant à son père, n’étaient pas déterminantes en matière d’asile. En effet, il ne ressort pas de ses propos en lien avec ces évènements qu’il soit exposé à de sérieux préjudices ou qu’il puisse être fondé à craindre une persécution pour l’un des motifs exhaustivement énumérés à l’art. 3 LAsi, à savoir sa race, sa religion, sa nationalité, son appartenance à un groupe social déterminé ou ses opinions politiques. Il est du reste constaté que le recours ne contient aucun argument permettant d'amener à une appréciation différente.</w:t>
      </w:r>
    </w:p>
    <w:p>
      <w:r>
        <w:rPr>
          <w:b/>
        </w:rPr>
        <w:t>E. 4.3.2</w:t>
      </w:r>
    </w:p>
    <w:p>
      <w:r>
        <w:t>Ensuite, force est de constater, à l’instar du SEM, que les menaces dont celui-ci se prévaut pour justifier une crainte fondée de persécution en cas de retour en Afghanistan ne reposent sur aucun élément concret ou moyen de preuve. A cet égard, il convient de souligner que le fait d’avoir appris l’existence de ces accusations à son encontre par le biais d’autres résidents, à savoir des tiers, ne suffit pas à établir l’existence d’une crainte fondée de persécution future (cf. notamment arrêt du Tribunal E-1378/2022 du 6 février 2024 consid. 4.3 et réf. cit.).</w:t>
      </w:r>
    </w:p>
    <w:p>
      <w:r>
        <w:rPr>
          <w:b/>
        </w:rPr>
        <w:t>E. 4.4.1</w:t>
      </w:r>
    </w:p>
    <w:p>
      <w:r>
        <w:t>L’intéressé fait en outre valoir qu’il n’aura pas la possibilité de s’adresser aux autorités de son pays, compte tenu des relations étroites</w:t>
      </w:r>
    </w:p>
    <w:p>
      <w:r>
        <w:t>E-1412/2021 Page 8 que le commandant K._______ entretiendrait avec le gouvernement afghan et de l’influence directe dont il disposerait au sein de celui-ci.</w:t>
      </w:r>
    </w:p>
    <w:p>
      <w:r>
        <w:rPr>
          <w:b/>
        </w:rPr>
        <w:t>E. 4.4.2</w:t>
      </w:r>
    </w:p>
    <w:p>
      <w:r>
        <w:t>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4.4.3</w:t>
      </w:r>
    </w:p>
    <w:p>
      <w:r>
        <w:t>Tel que relevé à juste titre par le SEM, le recourant n’a jamais requis une protection auprès des autorités de son pays. Il n’a ainsi pas encore épuisé, dans son propre pays, les possibilités de protection à l’encontre du commandant K._______ ainsi que de ses hommes de main qui le rechercheraient.</w:t>
      </w:r>
    </w:p>
    <w:p>
      <w:r>
        <w:rPr>
          <w:b/>
        </w:rPr>
        <w:t>E. 4.4.4</w:t>
      </w:r>
    </w:p>
    <w:p>
      <w:r>
        <w:t>Ce constat est désormais d’autant plus d’actualité, dès lors que les talibans sont au pouvoir depuis août 2021 et qu’il ressort du dossier que l’intéressé était proche de ces derniers avant son départ du pays, ayant collaboré avec eux durant deux ans. Il est dès lors vraisemblable qu’il pourra obtenir, le cas échéant, protection auprès de ceux-là.</w:t>
      </w:r>
    </w:p>
    <w:p>
      <w:r>
        <w:rPr>
          <w:b/>
        </w:rPr>
        <w:t>E. 4.4.5</w:t>
      </w:r>
    </w:p>
    <w:p>
      <w:r>
        <w:t>Enfin et surtout, l’argument avancé par le recourant selon lequel le commandant K._______ bénéficierait d’une influence directe sur le gouvernement afghan n’est pas de nature à remettre en cause cette appréciation, compte tenu du contexte actuel en Afghanistan.</w:t>
      </w:r>
    </w:p>
    <w:p>
      <w:r>
        <w:rPr>
          <w:b/>
        </w:rPr>
        <w:t>E. 4.5.1</w:t>
      </w:r>
    </w:p>
    <w:p>
      <w:r>
        <w:t>Dans son recours, l’intéressé se prévaut encore d’une crainte de persécution réfléchie en raison des activités politiques passées de son défunt frère en faveur du parti « Wadhat-e-Islami ».</w:t>
      </w:r>
    </w:p>
    <w:p>
      <w:r>
        <w:rPr>
          <w:b/>
        </w:rPr>
        <w:t>E. 4.5.2</w:t>
      </w:r>
    </w:p>
    <w:p>
      <w:r>
        <w:t>Une persécution réfléchie est admise lorsque les proches d'une personne persécutée sont exposés à des représailles en vue d'exercer des pressions sur cette personne (cf. ATAF 2010/57 consid. 4.1.3 ; arrêt du Tribunal E-2708/2021 du 28 mars 2023 consid. 4.1.2 et réf. cit.).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w:t>
      </w:r>
    </w:p>
    <w:p>
      <w:r>
        <w:t>E-1412/2021 Page 9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w:t>
      </w:r>
    </w:p>
    <w:p>
      <w:r>
        <w:rPr>
          <w:b/>
        </w:rPr>
        <w:t>E. 4.5.3</w:t>
      </w:r>
    </w:p>
    <w:p>
      <w:r>
        <w:t>En l’occurrence, outre le fait que le recourant n’a jamais allégué et encore moins démontré avoir subi des préjudices en raison des activités de son frère, force est de retenir que dans le contexte actuel qui est celui de son pays, aucun élément au dossier ne laisse penser qu'il puisse être fondé à craindre de tels préjudices.</w:t>
      </w:r>
    </w:p>
    <w:p>
      <w:r>
        <w:rPr>
          <w:b/>
        </w:rPr>
        <w:t>E. 4.6</w:t>
      </w:r>
    </w:p>
    <w:p>
      <w:r>
        <w:t>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4.7</w:t>
      </w:r>
    </w:p>
    <w:p>
      <w:r>
        <w:t>Il s’ensuit que le recours doit être rejeté, en tant qu’il conteste le refus de la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En l’occurrence, l'intéressé ayant été admis provisoirement en Suisse par le SEM au motif de l’inexigibilité de l’exécution de son renvoi en Afghanistan, il n’y a pas lieu d’examiner les questions liées à l’exécution de cette mesure. Celui-là n’a du reste pas recouru contre ce point du dispositif.</w:t>
      </w:r>
    </w:p>
    <w:p>
      <w:r>
        <w:rPr>
          <w:b/>
        </w:rPr>
        <w:t>E. 7.1</w:t>
      </w:r>
    </w:p>
    <w:p>
      <w:r>
        <w:t>S’avérant manifestement infondé, le recours est rejeté dans une procédure à juge unique, avec l'approbation d'un second juge (art. 111 let. e LAsi).</w:t>
      </w:r>
    </w:p>
    <w:p>
      <w:r>
        <w:t>E-1412/2021 Page 10</w:t>
      </w:r>
    </w:p>
    <w:p>
      <w:r>
        <w:rPr>
          <w:b/>
        </w:rPr>
        <w:t>E. 7.2</w:t>
      </w:r>
    </w:p>
    <w:p>
      <w:r>
        <w:t>Il est dès lors renoncé à un échange d'écritures, le présent arrêt n'étant motivé que sommairement (art. 111a al. 1 et 2 LAsi).</w:t>
      </w:r>
    </w:p>
    <w:p>
      <w:r>
        <w:rPr>
          <w:b/>
        </w:rPr>
        <w:t>E. 8.1</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8.2</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E-1412/2021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