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E-1407/2023 vom 22. Oktober 2024</w:t>
      </w:r>
    </w:p>
    <w:p>
      <w:r>
        <w:t>Bundesverwaltungsgericht, 2024-10-22, FR</w:t>
      </w:r>
    </w:p>
    <w:p>
      <w:r>
        <w:rPr>
          <w:b/>
        </w:rPr>
        <w:t xml:space="preserve">Quelle: </w:t>
      </w:r>
      <w:r>
        <w:t>https://mcp.opencaselaw.ch/entscheid/bvger_E-1407_2023</w:t>
      </w:r>
    </w:p>
    <w:p>
      <w:r>
        <w:t>FR: TAF E-1407/2023 du 22 octobre 2024</w:t>
      </w:r>
    </w:p>
    <w:p>
      <w:r>
        <w:t>IT: TAF E-1407/2023 del 22 ottobre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Comme relevé, l'intéressé fait préliminairement valoir que le SEM aurait violé son droit d'être entendu et la maxime inquisitoire.</w:t>
      </w:r>
    </w:p>
    <w:p>
      <w:r>
        <w:rPr>
          <w:b/>
        </w:rPr>
        <w:t>E. 2.2</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2.4</w:t>
      </w:r>
    </w:p>
    <w:p>
      <w:r>
        <w:t>L'intéressé reproche d'abord au SEM de ne pas avoir suffisamment instruit son état de santé, en particulier psychique. En l'occurrence, au moment où l'autorité intimée a statué, elle disposait des déclarations du recourant relatives à son état de santé, notamment psychique, ainsi que de plusieurs rapports médicaux (cf. let. G). Des diagnostics avaient été posés, un traitement médicamenteux prescrit et un suivi mis en place. Nanti de ces informations, le SEM a notamment retenu que l'état de santé de l'intéressé n'était pas si grave qu'il puisse s'opposer à un retour en Croatie, où il aurait accès à des soins adéquats. Il a en particulier retenu que les pensées suicidaires de l'intéressé, qui étaient selon lui manifestement en lien avec la perspective d'un retour en Croatie, n'auguraient pas de mise en danger aiguë et ne nécessitaient pas d'action urgente. Force est ainsi d'admettre que le SEM a pris en compte les éléments médicaux figurant alors au dossier, lesquels ne laissaient apparaître, selon lui, aucun indice de troubles susceptibles de faire obstacle au transfert de l'intéressé. Le SEM était dès lors fondé à statuer sans ordonner l'établissement d'un nouveau rapport médical. Rien n'indique donc que l'autorité intimée ait violé son devoir d'instruction d'office ou le droit d'être entendu du recourant. La question de la licéité de l'exécution du transfert en lien avec l'état de santé de l'intéressé ainsi que les documents médicaux produits au stade du recours seront examinés plus loin (cf. infra, consid. 7.5).</w:t>
      </w:r>
    </w:p>
    <w:p>
      <w:r>
        <w:rPr>
          <w:b/>
        </w:rPr>
        <w:t>E. 2.5</w:t>
      </w:r>
    </w:p>
    <w:p>
      <w:r>
        <w:t>Comme exposé, le recourant fait en outre grief à l'autorité intimée d'avoir insuffisamment instruit les violences qu'il aurait subies en Croatie et la situation générale dans ce pays. Cela dit, il entend en réalité contester le bien-fondé de la décision querellée et fait valoir des griefs de fond, lesquels seront examinés plus loin. Toute violation du droit d'être entendu du recourant ou de la maxime inquisitoire peut donc être écartée.</w:t>
      </w:r>
    </w:p>
    <w:p>
      <w:r>
        <w:rPr>
          <w:b/>
        </w:rPr>
        <w:t>E. 2.6</w:t>
      </w:r>
    </w:p>
    <w:p>
      <w:r>
        <w:t>Dans ces conditions, les griefs d'ordre formel soulevés par le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 recourant avait déposé une demande d'asile en Croatie le 5 septembre 2022. Les déclarations de l'intéressé selon lesquelles il aurait été contraint de déposer une demande d'asile ne sont pas étayées. Rien n'indique que le recourant aurait subi à ces fins, de la part de la police croate, des moyens de contrainte contraires à l'art. 3 CEDH ou aux art. 3 et 6 de la Convention du 10 décembre 1984 contre la torture et autres peines ou traitements cruels, inhumains ou dégradants (CCT, RS 0.105 ; cf. 7.5 ci-dessous).</w:t>
      </w:r>
    </w:p>
    <w:p>
      <w:r>
        <w:rPr>
          <w:b/>
        </w:rPr>
        <w:t>E. 5.2</w:t>
      </w:r>
    </w:p>
    <w:p>
      <w:r>
        <w:t>Le 14 novembre 2022, l'autorité intimée a dès lors soumis aux autorités croates compétentes, dans les délais fixés à l'art. 23 par. 2 RD III, une requête aux fins de reprise en charge, fondée sur l'art. 18 par. 1 let. b de ce même règlement.</w:t>
      </w:r>
    </w:p>
    <w:p>
      <w:r>
        <w:rPr>
          <w:b/>
        </w:rPr>
        <w:t>E. 5.3</w:t>
      </w:r>
    </w:p>
    <w:p>
      <w:r>
        <w:t>Les autorités croates ont expressément accepté de reprendre en charge le recourant en date du 28 novembre 2022, sur la base de l'art. 20 par. 5 RD III (sur la validité d'une telle acceptation, cf. arrêt du Tribunal E-380/2023 du 19 juin 2023 consid. 5.3). La Croatie a ainsi reconnu sa compétence pour achever le processus de détermination de l'Etat membre responsable, point qui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et quoi qu'en dise l'intéressé, d'être exposées à un risque de violation de leurs droits découlant du principe de non-refoulement. Le Tribunal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w:t>
      </w:r>
    </w:p>
    <w:p>
      <w:r>
        <w:rPr>
          <w:b/>
        </w:rPr>
        <w:t>E. 6.4</w:t>
      </w:r>
    </w:p>
    <w:p>
      <w:r>
        <w:t>Par conséquent, l'application de l'art. 3 par. 2 du règlement Dublin III ne se justifie pas en l'espèce. Le « dossier de presse » ainsi que les rapports d'ONG mentionnés dans le recours ne suffisent pas à modifier cette appréciation. L'intéressé ne peut en outre tirer argument de l'arrêt de référence E-3078/2019 du 12 juillet 2019 qui n'a pas considéré que le système mis en place par la Croatie présentait des défaillances systémiques ; l'arrêt de coordination E-1488/2020 précité ne l'a d'ailleurs en définitive pas retenu. Enfin, les arrêts de juridictions allemandes et néerlandaise cités par l'intéressé ne lient pas le Tribunal.</w:t>
      </w:r>
    </w:p>
    <w:p>
      <w:r>
        <w:rPr>
          <w:b/>
        </w:rPr>
        <w:t>E. 7.1</w:t>
      </w:r>
    </w:p>
    <w:p>
      <w:r>
        <w:t>Le recourant s'oppose néanmoins à son transfert vers la Croatie, déclarant, comme relevé, avoir subi des mauvais traitements de la part de la police croate. En outre, il a en substance émis des doutes quant à l'accès dans ce pays à une procédure d'asile équitable et respectueuse de ses droits fondamentaux. Atteint dans sa santé psychique, il devrait être considéré comme vulnérable en cas de transfert. A cet égard, il invoque une violation de l'art. 17 par. 1 du règlement Dublin III en lien avec les art. 3 et 13 CEDH ainsi que 3, 14 et 16 CCT.</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Le recourant n'a pas démontré que sa demande de protection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que ses conditions d'existence dans ce pays, où il n'a semble-t-il passé que peu de temps, revêtiraient un tel degré de pénibilité et de gravité, pour un requérant d'asile, qu'elles seraient constitutives d'un traitement contraire à l'art. 3 CEDH ou encore aux art. 3 ou 16 CCT (cf. arrêt du Tribunal F-1125/2021 du 19 mars 2021 consid. 4.5). Sur le fond, les seules déclarations du recourant lors de son audition Dublin ne suffisent pas, quoi qu'il en dise, à établir qu'il a subi de la part de la police croate des traitements contraires à l'art. 3 CEDH ou à l'art. 3 CCT. L'état de stress post-traumatique présenté par l'intéressé n'atteste pas encore les mauvais traitements qu'il aurait subis en Croatie, dès lors qu'il ne peut être exclu que ce trouble ait une origine différente. A cet égard, le rapport médical du 4 septembre 2023 fait du reste référence à des événements et à des reviviscences d'événements survenus tant au Burundi - où l'intéressé aurait été victime de menaces de mort et d'agressions physiques - qu'en Croatie. Le rapport médical du 12 avril 2024, selon lequel « l'historique médical » du recourant permettrait de lier ses troubles au souvenir d'événements survenus en Croatie paraît se fonder sur des éléments anamnestiques et n'est ainsi pas de nature à étayer un lien de causalité - à tout le moins exclusive - entre ceux-ci et ceux-là. En outre, les violences extrêmes et répétées que le recourant aurait subies en Croatie tranchent avec l'absence de lésion traumatique objectivée, l'argument selon lequel les policiers croates auraient fait attention de ne pas le blesser - cet argument semble aussi être contredit par son allégation selon laquelle il aurait eu « les côtes cassées » et des migrants auraient été torturés, l'un d'eux étant atteint par balle - ne suffisant pas à l'expliquer. Comme relevé dans les rapports médicaux du 17 janvier 2023 précités, son anamnèse a d'ailleurs été compliquée par le fait qu'il répondait par l'affirmative à toutes les questions qui lui étaient posées, acquiesçant à tout symptôme suggéré par le médecin. A suivre le récit livré lors de son entretien Dublin, il aurait d'ailleurs aussi été victime ou témoin de toutes les formes d'exactions violentes que des requérants ont pu révéler lors de leur passage en Croatie, ce qui est peu probable, décrivant qu'à son arrivée en Suisse il avait « été mis deux jours au cachot ». Il est encore relevé que le recourant est arrivé en Suisse en possession de 700 euros (cf. pièce SEM 3/3) alors qu'il a déclaré que les policiers croates avaient saisi l'argent des migrants. Les circonstances exactes de son parcours migratoire sont dès lors sujettes à caution. Partant, même s'il ne peut être exclu qu'il ait été traité avec hostilité par la police croate, les mauvais traitements allégués par l'intéressé ne sont pas établis à satisfaction de droit. Même à les tenir pour établis, ces faits ne sauraient être considérés comme représentatifs du comportement des autorités croates dans leur ensemble. A cet égard, il est encore rappelé que, selon la jurisprudence du Tribunal, les personnes transférées en Croatie en application de la réglementation Dublin ne risquent pas, selon une haute probabilité, d'être exposées à un risque de violation de leurs droits (cf. supra consid. 6.3 et arrêt E-1488/2020 précité consid. 9.5). Enfin et surtout, les allégations du recourant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Il convient d'insister sur ce constat dans le cas de l'intéressé, décrit par ses médecins comme étant particulièrement anxieux. On ne saurait dès lors retenir que l'intéressé encourt un risque de retraumatisation en cas de retour en Croatie.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TAF F-1543/2018 du 19 mars 2018 consid. 6.2). Les rapports cités dans le recours ne sont pas de nature à modifier l'appréciation du Tribunal selon laquelle l'intéressé aura accès en Croatie à un recours effectif au sens de l'art. 13 CEDH. Partant, il n'y a pas lieu de requérir des autorités croates les garanties de prise en charge évoquées dans le mémoire de recours (cf. p. 18 s.), tout en soulignant qu'avant son transfert, ces autorités devront être nanties de toutes les informations permettant d'assurer la continuité des soins (cf. consid. 7.5.4).</w:t>
      </w:r>
    </w:p>
    <w:p>
      <w:r>
        <w:rPr>
          <w:b/>
        </w:rPr>
        <w:t>E. 7.5.1</w:t>
      </w:r>
    </w:p>
    <w:p>
      <w:r>
        <w:t>Compte tenu de la jurisprudence restrictive en la matière, encore récemment rappelée par le Tribunal (cf. not. arrêts du Tribunal E-5863/2022 du 23 janvier 2024 consid. 7.4.3 ; F-2394/2023 du 18 janvier 2024 consid. 7.4 ; D-3385/2023 du 28 juillet 2023 considérant 7.3.2), il y a lieu de considérer, à l'instar du SEM, que les problèmes de santé évoqués par le recourant, que le Tribunal ne minimise en rien, ne sont pas d'une gravité telle qu'il se justifierait de renoncer à son transfert vers la Croatie (cf., à ce sujet, arrêt Paposhvili c. Belgique [GC] du 13 décembre 2016, requête no 41738/10, confirmé dans l'arrêt Savran c. Danemark [GC] du 7 décembre 2021, req. n° 57467/2015).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 du Tribunal E-5863/2022 précité et jurisp. cit.). Il en va en particulier ainsi des troubles psychiques du recourant, tels qu'ils ressortent notamment des documents médicaux déposé au stade du recours. En outre, ces affections n'appellent aucune mesure urgente, les rapports médicaux les plus récents faisant d'ailleurs état d'une amélioration de l'état de l'intéressé.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définitive, rien n'indique que l'intéressé ne puisse obtenir en Croatie les soins nécessités par son état psychique. Les rapports généraux mentionnés par le recourant ne sont pas de nature à modifier ces conclusions.</w:t>
      </w:r>
    </w:p>
    <w:p>
      <w:r>
        <w:rPr>
          <w:b/>
        </w:rPr>
        <w:t>E. 7.5.2</w:t>
      </w:r>
    </w:p>
    <w:p>
      <w:r>
        <w:t>Comme relevé, l'intéressé a exprimé des idées suicidaires, indiquant notamment préférer être jeté sous les rails ou abattu que de retourner en Croatie. Il ne présentait toutefois plus de telles idéations selon les deux derniers rapports médicaux produits. Au demeurant,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réel et immédiat de suicide concernant le recourant. Il n'est notamment pas connu pour des antécédents avérés que ce soit de trouble mental grave, de tentative de suicide ou d'acte d'auto-agression. Si des menaces auto-agressives devaient reparaître au moment de l'organisation du départ de Suisse, il appartiendrait aux autorités chargées de l'exécution du transfert de prévoir des mesures concrètes pour en prévenir la réalisation. Il appartiendra également, le cas échéant, aux thérapeutes du recourant de le préparer à la perspective de son transfert (cf. aussi consid. 7.5.4). Les menaces auto-agressives qui se manifesteraient par la suite devront et pourront, le cas échéant, être gérées en Croatie. A cet égard, il sied en outre de souligner qu'une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Il est encore rappelé que les mauvais traitements subis en Croatie - en tous les cas de l'ampleur que tente de leur donner l'intéressé - n'ont pas été rendus crédibles, et qu'en tout état de cause, le recourant, qui sera transféré à Zagreb, ne se retrouvera pas confronté à la situation qui a pu être la sienne dans les zones frontalières (cf. consid 7.4). Enfin, comme déjà dit (cf. ibidem), il n'existe aucun indice concret d'un risque de retraumatisation du recourant en cas de transfert en Croatie.</w:t>
      </w:r>
    </w:p>
    <w:p>
      <w:r>
        <w:rPr>
          <w:b/>
        </w:rPr>
        <w:t>E. 7.5.3</w:t>
      </w:r>
    </w:p>
    <w:p>
      <w:r>
        <w:t>Dès lors, il y a lieu de retenir que l'état de santé du recourant ne saurait faire obstacle à l'exécution de son transfert vers la Croatie.</w:t>
      </w:r>
    </w:p>
    <w:p>
      <w:r>
        <w:rPr>
          <w:b/>
        </w:rPr>
        <w:t>E. 7.5.4</w:t>
      </w:r>
    </w:p>
    <w:p>
      <w:r>
        <w:t>Cela dit, afin d'assurer que les traitements ne seront pas interrompus au moment du transfert et qu'ils seront poursuivis en Croatie, il incombera aux autorités suisses chargées de l'exécution de ce transfert de transmettre à leurs homologues croates, en temps utile, les renseignements permettant une prise en charge médicale adéquate du recourant (art. 31 et 32 du règlement Dublin III), étant rappelé que celui-ci a donné son accord à la transmission de ses données médicales en date du 25 octobre 2022.</w:t>
      </w:r>
    </w:p>
    <w:p>
      <w:r>
        <w:rPr>
          <w:b/>
        </w:rPr>
        <w:t>E. 7.6</w:t>
      </w:r>
    </w:p>
    <w:p>
      <w:r>
        <w:t>Enfin, c'est en vain que le recourant invoque une violation de l'art. 14 CCT, disposition qui concerne le droit des victimes d'actes de torture à obtenir réparation ou indemnisation, laquelle ne trouve pas à s'appliquer en l'espèce (cf. not. arrêts du Tribunal F-4551/2023 du 11 mars 2024 consid. 7.5.3 ss ; E-558/2023 du 6 juin 2023 consid. 7.7 ; E-265/2023 du 18 avril 2023 consid. 8.5).</w:t>
      </w:r>
    </w:p>
    <w:p>
      <w:r>
        <w:rPr>
          <w:b/>
        </w:rPr>
        <w:t>E. 7.7</w:t>
      </w:r>
    </w:p>
    <w:p>
      <w:r>
        <w:t>Par conséquent, le transfert de l'intéressé vers la Croatie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en refusant d'admettre l'existence de raisons humanitaires au sens de l'art. 29a al. 3 OA 1, en combinaison avec l'art. 17 par. 1 du règlement Dublin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Cela dit, les conclusions du recours n'étaient pas d'emblée vouées à l'échec et le recourant peut être tenu pour indigent, de sorte que la requête d'assistance judiciaire partielle est admise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