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E-1406/2020 vom 26. März 2020</w:t>
      </w:r>
    </w:p>
    <w:p>
      <w:r>
        <w:t>Bundesverwaltungsgericht, 2020-03-26, DE</w:t>
      </w:r>
    </w:p>
    <w:p>
      <w:r>
        <w:rPr>
          <w:b/>
        </w:rPr>
        <w:t xml:space="preserve">Quelle: </w:t>
      </w:r>
      <w:r>
        <w:t>https://mcp.opencaselaw.ch/entscheid/bvger_E-1406_2020</w:t>
      </w:r>
    </w:p>
    <w:p>
      <w:r>
        <w:t>FR: TAF E-1406/2020 du 26 mars 2020</w:t>
      </w:r>
    </w:p>
    <w:p>
      <w:r>
        <w:t>IT: TAF E-1406/2020 del 26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2.1</w:t>
      </w:r>
    </w:p>
    <w:p>
      <w:r>
        <w:t>Gegenstand des vorliegenden Verfahrens bildet die Flüchtlingseigenschaft, der Asylpunkt sowie die verfügte Wegweisung. Der Wegweisungsvollzug ist nicht mehr zu prüfen, nachdem die Vorinstanz den Beschwerdeführer in der Schweiz vorläufig aufgenommen hat.</w:t>
      </w:r>
    </w:p>
    <w:p>
      <w:r>
        <w:rPr>
          <w:b/>
        </w:rPr>
        <w:t>E. 2.2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5.1</w:t>
      </w:r>
    </w:p>
    <w:p>
      <w:r>
        <w:t>Die Vorinstanz gelangt in der angefochtenen Verfügung unter Hinweis auf die Rechtsprechung des Bundesverwaltungsgerichts zum Schluss, den Vorbringen des Beschwerdeführers komme keine Asylrelevanz zu. Den erwähnten Vergeltungsmassnahmen durch die Familie von C._______ sowie die Befürchtung der Einleitung eines Strafverfahrens durch die afghanischen Behörden liege kein asylrelevantes Motiv im Sinne von Art. 3 AsylG zugrunde. Allfällige private Massnahmen durch C._______s Familie würden hauptsächlich in gesellschaftlichen und kulturellen Auffassungen gründen und den Beschwerdeführer in keiner Eigenschaft treffen, die gemäss Art. 3 AsylG asylrelevant sei. Auch der Umstand, dass ausserehelicher Geschlechtsverkehr in Afghanistan teilweise hart bestraft werde, führe nicht zur Anerkennung als Flüchtling. Selbst wenn der Beschwerdeführer aufgrund der Beziehung zu C._______ angezeigt worden wäre, würde die Flucht vor einer rechtsstaatlich legitimen Strafverfolgung grundsätzlich kein Grund für die Anerkennung der Flüchtlingseigenschaft begründen. Die allgemein unsichere Lage in Herat sei schliesslich ebenfalls nicht asylrelevant.</w:t>
      </w:r>
    </w:p>
    <w:p>
      <w:r>
        <w:rPr>
          <w:b/>
        </w:rPr>
        <w:t>E. 5.2</w:t>
      </w:r>
    </w:p>
    <w:p>
      <w:r>
        <w:t>Der Beschwerdeführer macht in der Rechtsmitteleingabe geltend, die Vorinstanz habe das Vorliegen der Flüchtlingseigenschaft zu Unrecht verneint, mithin Art. 3 AsylG verletzt. Entgegen der vorinstanzlichen Auffassung liege ein flüchtlingsrechtlich relevantes Motiv vor. Aussereheliche Beziehungen (Zina) seien sowohl nach dem afghanischen Strafgesetzbuch als auch nach der Scharia strafbar. Der Vater von C._______ sei ein einflussreicher (...) in der Region. Er pflege Beziehungen zu Behörden und der Polizei. Ihm würden deshalb bei einer Rückkehr nach Afghanistan mit erheblicher Wahrscheinlichkeit ernsthafte Nachteile seitens C._______s Vater wegen der Verletzung der Familienehre drohen. Von der Schutzfähigkeit und -willigkeit der afghanischen Behörden sei nicht auszugehen. Darüber hinaus würde er mit erheblicher Wahrscheinlichkeit behördlichen Massnahmen ausgesetzt sein. Aussereheliche Beziehungen seien in Afghanistan strafbar. Eine legitime Strafverfolgung liege im vorliegenden Fall nicht vor, vor allem weil der Vater von C._______ ein (...) sei und mit seinen Beziehungen zu den Behörden das Verfahren beeinflussen könne. Auch könne der Konflikt nicht - ohne staatliche Intervention - unter den beiden involvierten Familien geregelt werden, da C._______ aus einer höheren Schicht stamme und ihrem (...) versprochen gewesen sei. Er und C._______ hätten gegen kulturelle Wertvorstellungen und soziale Normen verstossen. Bei einer Rückkehr würde er aus einem Motiv nach Art. 3 AsylG, namentlich der Verletzung traditionell geltender Wertvorstellungen und Verstoss gegen vorherrschende Bräuche, verfolgt werden.</w:t>
      </w:r>
    </w:p>
    <w:p>
      <w:r>
        <w:rPr>
          <w:b/>
        </w:rPr>
        <w:t>E. 6.1</w:t>
      </w:r>
    </w:p>
    <w:p>
      <w:r>
        <w:t>Der Beschwerdeführer bringt vor, ihm drohten wegen der ausserehelichen Beziehung mit C._______ sowohl Verfolgungsmassnahmen durch ihre Familie als auch die afghanischen Strafbehörden. Die Vorinstanz hat in der angefochtenen Verfügung einlässlich begründet, weshalb die Vorbringen des Beschwerdeführers den Anforderungen an die Flüchtlingseigenschaft nicht zu genügen vermögen. Dem Beschwerdeführer gelingt es mit seinen Ausführungen in der Rechtsmitteleingabe nicht, den vorinstanzlichen Erwägungen etwas Stichhaltiges entgegenzuhalten. Mit der Vorinstanz und entgegen der Argumentation in der Beschwerde ist festzustellen, dass die geltend gemachten Asylgründe des Beschwerdeführers weder aufgrund privater Massnahmen noch der Einleitung eines Strafverfahrens seitens der afghanischen Behörden zur Erfüllung der Flüchtlingseigenschaft gemäss Art. 3 AsylG führen, da es an einem flüchtlingsrechtlich relevanten Verfolgungsmotiv fehlt (vgl. Urteile BVGer E-2742/2019 vom 14. Juni 2019 E. 6.2; E-1457/2017 vom 26. Juni 2018 E. 7.1 f.; E-3930/2014 vom 22. Dezember 2015 E. 6.1.2 ff. und E-7457/2014 vom 9. September 2015 E. 5.3 und E. 5.5). Daran vermag der Umstand, dass der Vater von C._______ ein (...) ist, nichts zu ändern. Der Beschwerdeführer legt denn auch nicht näher dar, wie sich die Funktion des Vaters von C._______ als (...) konkret ausgestaltet und weshalb dieser dadurch Einfluss auf ein mögliches Strafverfahren nehmen könnte. Den Akten lassen sich keine Anhaltspunkte entnehmen, dass eine dem Beschwerdeführer allfällig drohende Strafverfolgung illegitim sein würde, ihm mithin ein Politmalus droht (vgl. dazu BVGE 2014/28). Um Wiederholungen zu vermeiden, kann im Übrigen auf die zutreffenden Erwägungen in der angefochtenen Verfügung verwiesen werden.</w:t>
      </w:r>
    </w:p>
    <w:p>
      <w:r>
        <w:rPr>
          <w:b/>
        </w:rPr>
        <w:t>E. 6.2</w:t>
      </w:r>
    </w:p>
    <w:p>
      <w:r>
        <w:t>Ob der Beschwerdeführer bei einer (hypothetischen) heutigen Rückkehr nach Afghanistan allenfalls eine menschenrechtswidrige Behandlung im Sinne von Art. 3 EMRK zu gewärtigen hätte, ist aufgrund der von der Vorinstanz angeordneten vorläufigen Aufnahme und der Alternativität der Vollzugshindernisse (BVGE 2009/51 E. 5.4) nicht Gegenstand des vorliegenden Verfahrens.</w:t>
      </w:r>
    </w:p>
    <w:p>
      <w:r>
        <w:rPr>
          <w:b/>
        </w:rPr>
        <w:t>E. 6.3</w:t>
      </w:r>
    </w:p>
    <w:p>
      <w:r>
        <w:t>Betreffend die vorinstanzliche Schlussfolgerung, die allgemein unsichere Lage in Herat sei nicht asylrelevant, rügt der Beschwerdeführer keine Bundesrechtsverletzung. Es ist deshalb nicht näher darauf einzugehen.</w:t>
      </w:r>
    </w:p>
    <w:p>
      <w:r>
        <w:rPr>
          <w:b/>
        </w:rPr>
        <w:t>E. 6.4</w:t>
      </w:r>
    </w:p>
    <w:p>
      <w:r>
        <w:t>Zusammenfassend hat die Vorinstanz das Vorliegen der Flüchtlingseigenschaft zu Recht verneint und das Asylgesuch des Beschwerdeführers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Für eine Rückweisung der Sache an die Vorinstanz besteht keine Veranlassung. Die Beschwerde ist abzuweisen.</w:t>
      </w:r>
    </w:p>
    <w:p>
      <w:r>
        <w:rPr>
          <w:b/>
        </w:rPr>
        <w:t>E. 9.1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9.3</w:t>
      </w:r>
    </w:p>
    <w:p>
      <w:r>
        <w:t>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