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E-1402/2008 vom 24. Oktober 2011</w:t>
      </w:r>
    </w:p>
    <w:p>
      <w:r>
        <w:t>Bundesverwaltungsgericht, 2011-10-24, DE</w:t>
      </w:r>
    </w:p>
    <w:p>
      <w:r>
        <w:rPr>
          <w:b/>
        </w:rPr>
        <w:t xml:space="preserve">Quelle: </w:t>
      </w:r>
      <w:r>
        <w:t>https://mcp.opencaselaw.ch/entscheid/bvger_E-1402_2008</w:t>
      </w:r>
    </w:p>
    <w:p>
      <w:r>
        <w:t>FR: TAF E-1402/2008 du 24 octobre 2011</w:t>
      </w:r>
    </w:p>
    <w:p>
      <w:r>
        <w:t>IT: TAF E-1402/2008 del 24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i.V.m. Art 37 VGG, Art. 108 Abs. 1 AsylG, Art. 48 Abs. 1 und Art. 52 VwVG). Auf die Beschwerde ist einzutreten.</w:t>
      </w:r>
    </w:p>
    <w:p>
      <w:r>
        <w:rPr>
          <w:b/>
        </w:rPr>
        <w:t>E. 1.4</w:t>
      </w:r>
    </w:p>
    <w:p>
      <w:r>
        <w:t>D._______ wird ins vorliegende Beschwerdeverfahren einbezogen.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Die Beschwerdeführenden haben eine Fülle an formellen Anträgen im Bereich der Gewährung des rechtlichen Gehörs, insbesondere hinsichtlich der Akteneinsicht, gestellt. Mit der Zwischenverfügung vom 11. März 2008 wurden die Gesuche um eine erweiterte Akteneinsicht, Sistierung des Verfahrens, Abklärungen von Amtes wegen und Fristansetzung für Beschwerdeergänzungen abgewiesen; es wird auf die dortigen Erwägungen verwiesen. Aufgrund des rechtsgenüglich erstellten Sachverhalts sieht sich das Gericht nicht veranlasst, eine Nachbefragung des Beschwerdeführers ins Auge zu fassen, weshalb der entsprechende Antrag (Replik vom 27. Mai 2007) abzuweisen ist. Dasselbe gilt auch für die Einholung weiterer ärztlicher Atteste, soweit diese Anträge nicht überholt sind durch die inzwischen erfolgte Einreichung des Arztberichtes betreffend den Beschwerdeführer vom 15. Juni 2009. Die professionell vertretenen Beschwerdeführenden haben neben den gewährten Fristengesuchen jahrelang Gelegenheit gehabt, Beweismittel nachzureichen oder Wesentliches zu den zentralen Punkten ihrer Asylbegründung und zum Wegweisungspunkt nachzuliefern (vgl. dazu auch Art. 32 Abs. 2 VwVG), weshalb der Antrag auf Ansetzung einer weiteren Frist zur Ergänzung der Beschwerde (nach dem Zeitpunkt der Niederkunft von D._______) abzuweisen ist. Zusammenfassend sind im heutigen Zeitpunkt keine Anhaltspunkte auf eine ungenügende Sachverhaltsfeststellung und damit Gehörsverletzung erkennbar, weshalb die Anträge auf Kassation der Verfügung vom 28. Januar 2008 und Rückweisung ans BFM (vgl. Beschwerde S. 2) abzuweisen sind. Schliesslich ist die Rüge, wonach die Vorkommnisse von 1997 (Verhaftung und Misshandlung [...]; vgl. Protokoll A30 S. 8, was zu einer Datierung auf 1995 führen würde) durch das BFM in der angefochtenen Verfügung nicht erwähnt und gewürdigt worden seien (Beschwerde S. 9), unbehelflich. Die Beschwerdeführenden konnten keinen adäquaten Zusammenhang zwischen diesem Vorkommnis und ihrem Fluchtentschluss aufzeigen, weshalb die Nichterwähnung und -würdigung in der angefochtenen Verfügung unerheblich ist. Vielmehr soll dieses Vorkommnis des Jahres 1995 oder 1997 den Beschwerdeführer zum späteren Eintritt in G._______ bewogen respektive zum Widerstand gegen kriminelle Bewegungen angespornt haben. Weiter ist keine ungenügende Protollführung darin zu erkennen, dass ein Weinen der Beschwerdeführerin - nota bene lediglich im Zusammenhang mit dem vom Befrager nicht geglaubten Reiseweg - keinen Protokolleintrag gefunden hat.</w:t>
      </w:r>
    </w:p>
    <w:p>
      <w:r>
        <w:rPr>
          <w:b/>
        </w:rPr>
        <w:t>E. 3</w:t>
      </w:r>
    </w:p>
    <w:p>
      <w:r>
        <w:t>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frauenspezifischen Fluchtgründen ist Rechnung zu tragen. 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und BVGE 2007/31 E. 5.3, mit wei­teren Hinweisen). Wer um Asyl nachsucht, muss die Flüchtlingseigenschaft nachweisen oder zumindest glaubhaft machen (Art. 7 AsylG). Nach ständiger Praxis gelten Vorbringen eines Gesuchstellers dann als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wichtige Tatsachen un­terdrückt oder bewusst falsch darstellt, im Laufe des Verfahrens Vor­bringen auswechselt, steigert oder unbegründet nachschiebt, mangeln­des Interesse am Verfahren zeigt oder die nötige Mitwirkung verweigert. Glaubhaftmachung bedeutet - im Gegensatz zum strikten Beweis - ein reduziertes Beweismass und lässt Raum für gewisse Zweifel an den Vor­bringen des Gesuchstellers. Entscheidend ist, ob die Gründe, die für die Richtigkeit der Sachverhaltsdarstellung sprechen, überwiegen oder nicht; dabei ist auf eine objektivierte Sichtweise abzustellen. Aufgrund der Sub­sidiarität des flüchtlingsrechtlichen Schutzes setzt die Anerkennung der Flüchtlingseigenschaft auch voraus, dass die betroffene Person in ihrem Heimatland keinen ausreichenden Schutz finden kann (BVGE 2008/4 E. 5.2, mit weiteren Hinweisen). 4.1. 4.1.1. Das BFM begründete den ablehnenden Asylentscheid mit dem Umstand, dass keine glaubhaften Hinweise vorhanden seien, dass den Beschwerdeführenden konkrete Nachteile im Heimatland drohen könn­ten. So habe der Beschwerdeführer erstmals in der Anhörung vom 5. De­zember 2007 angegeben, Mitglied des F._______ zu sein, und sein Arbeitskollege A.A. sei durch die H._______ getötet worden. In der Erstbefragung sei nichts Derartiges zu erfahren gewesen. Da diese zwei zentralen Elemente seiner Asylgesuchbegründung erst im Verlauf des späteren Asylverfahrens nachgeschoben worden seien, könnten sie nicht geglaubt werden. Zudem könne das Verhalten des Be­schwerdeführers nicht einer tatsächlich mit einer Liquidierung durch die Islamisten bedrohten Person entsprechen, weil er sich noch mehrere Monate lang bis zur effektiven Ausreise Zeit gelassen habe. Schliesslich seien die Angaben des Beschwerdeführers durchwegs undifferenziert, einfach und allgemein ausgefallen. Dies sei beispielsweise der Fall bezüglich der Angaben zu den Machtverhältnissen im Lager, der Kampfumstände bei (...), der Drohungen seitens verfeindeter Islamistengruppierungen und der übernommenen Aufgaben innerhalb der G._______. Den Schilderungen fehlten subjektiv geprägte Wahrnehmungen. Dasselbe gelte auch für die Angaben der Beschwerdeführerin. Selbst auf mehrmaliges Nachfragen hin sei von den Beschwerdeführenden keine vertiefende Substanz und keine authentische oder erlebnisgeprägte Nacherzählung von Ereignissen erhältlich gewesen. Die Sachvorträge würden damit durchgehend im oberflächlichen und pauschalen Bereich haften. Zudem hätten gemäss gesicherten Erkenntnissen des Amtes die vom Beschwerdeführer beschriebenen Kämpfe später begonnen und länger angedauert als angegeben. Schliesslich seien auch die Aussagen zum Reiseweg nicht glaubhaft, denn Reiseweg, vorgezeigte Dokumente und beschriebene Umstände bei den Kontrollen bekannter Grenzstellen seien mit den effektiven Verhältnissen vor Ort nicht in Einklang zu bringen. Die Aussagen zur Einreise nach und Ausreise von Österreich würden nicht überzeugen. Insgesamt würden die Vorbringen der Beschwerdeführenden der Anforderungen an die Glaubwürdigkeit nicht standhalten, wobei es sich erübrige, auf weitere Ungereimtheiten einzugehen. 4.1.2. Die Beschwerdeführenden fokussieren sich in ihrer Beschwerde­schrift vorab auf formelle Kritik und entsprechende Anträge, welche be­reits behandelt worden sind, weshalb im Folgenden nicht mehr darauf einzugehen ist. Der materiellen Argumentation des BFM wurde in der Beschwerdeschrift und den Ergänzungen vom 6. und 26. März 2008 im Wesentlichen (sinngemäss) entgegengehalten, das BFM schätze die Angaben der Beschwerdeführenden zu Unrecht als unglaubhaft ein. So seien Fragen in Zusammenhang mit der von Lingua-Abklärungen bestätigten palästinensischen Herkunft, den konkreten Umständen der Beschwer­deführenden, der Wohnsitzalternative, der Schwangerschaft und den gesundheitlichen Problemen zu kurz gekommen. Weiter hätten die Beschwerdeführenden dem Lingua-Sachverständigen Angaben gemacht, weshalb dort weitere Hinweise zu entnehmen seien. Seit 2007 hätten sich der F._______ und die H._______ gegenseitig beobachtet. Letztere habe mehrere Personen des F._______ enttarnt und ermordet, darunter auch A.A., einen Freund des Beschwerdeführers. Aufgrund dieser Eskalationsstufe sei mit der Enttarnung des Beschwerdeführers zu rechnen; er habe dasselbe Schicksal wie A.A. zu erwarten. Das BFM trage somit seiner Situation und den schwierigen Umständen einer Familie mit Kleinkindern im Flüchtlingslager nicht genügend Rechnung. Dort herrschten prekäre Verhältnisse. Der Beschwerdeführer leide an gesundheitlichen Problemen. Die Eltern der Beschwerdeführerin seien getrennt, und die Mutter der Beschwerdeführerin halte sich im Flüchtlingslager E._______ auf. Im selben Lager lebe jedenfalls (...), von der H._______, der Mann, der den Beschwerdeführer vor 15 Jahren misshandelt habe, seine innere Einstellung kennen dürfte und eine Rolle bei der Verfolgung spiele. 4.1.3. Mit Vernehmlassung vom 5. Juni 2008 machte das BFM ergän­zend geltend, Palästinenser im Libanon würden ein erhebliches Mass an Autonomie besitzen. Bewegungs- und Niederlassungsfreiheit ausserhalb der Lager seien im Libanon gewährleistet. In der Praxis würden rund die Hälfte aller Palästinenser von dieser Möglichkeit Gebrauch machen, um ausserhalb der Lager ihre Existenz aufzubauen. Die Beschwerdefüh­renden seien nicht gehalten, im Lager zu leben. 4.1.4. Mit Replik vom 27. Mai 2009 und in den nachfolgenden Ergän­zungen wurde behauptet, das BFM gehe nun von der Glaubhaftigkeit der Angaben des Beschwerdeführers aus, da es sich in der Vernehmlassung nicht mit der eingereichten authentischen Bestätigung der G._______, sondern lediglich mit der Unzumutbarkeit des Wegweisungsvollzugs befasst habe. Folglich sei nicht bestritten, dass die Beschwerdeführenden im Libanon verfolgt seien und der Beschwerdeführer durch die H._______ verhaf­tet und getötet werden könnte. In Zusammenhang mit den eingereichten Fotos und dem Internetauszug betreffend drei feindliche Anführer - zwei davon seien mittlerweile tot - sei eine ergänzende Nachbefragung des Beschwerdeführers unabdingbar, falls nicht ohnehin Asyl gewährt werde. Namentlich hätte der Beschwerdeführer vom BFM über die Rollen der (...) befragt werden müssen. Aus bekannten Gründen (vierköpfige und nicht vollstän­dig im Libanon registrierte Familie, schwieriger Arbeitsmarkt im Libanon, prekäre Situation im Lager, Diskriminierung von aus Lagern stammenden Palästinensern, Personen ohne Beziehungsnetz) sei der Wegweisungs­vollzug und namentlich eine Rückkehr ins Flüchtlingslager unzumutbar. Schliesslich leide der Beschwerdeführer unter zahlreichen somatischen Beschwerden wohl psychischer Herkunft, weshalb er sich mittlerweile in ärztliche Behandlung habe begeben müssen. 4.2. 4.2.1. Den Übersetzungen der im Jahr 2008 eingereichten Heirats- und Geburtsurkunden lässt sich entnehmen, dass beide Beschwerdeführenden palästinensischer Herkunft und (...) sind, wo sie am (...) geheiratet haben. In der undatierten Bestätigung der (...) steht gemäss Übersetzung im Wesentlichen, dass der Beschwerdeführer aktives Mitglied der G._______, (...), sei und im Flüchtlingslager E._______ von der H._______ verfolgt werde. Gemäss Beschrieb des Rechtsvertreters soll aus dem eingereichten Urteil des (...) betreffend ein Verfahren vom Jahr 1998 und einer Bescheinigung betreffend ein Verfahren vom Jahr 2004 hervorgehen, dass es (...). 4.2.2. Es steht unter anderem aufgrund der Lingua-Ergebnisse fest, dass die palästinensische Herkunft der Beschwerdeführenden und ihr Aufent­halt im Flüchtlingslagers E._______ erstellt ist. Die Beschwerdeführenden haben sich im Verfahren mit UNRWA-Ausweisen legitimiert. Mit der Anwendbarkeit der Flüchtlingskonvention auf palästinensische Asylsuchende hat sich das Bundesverwaltungsgericht in seinem Urteil BVGE 2008/34 auseinandergesetzt: Bei palästinensischen Asylsuchenden, die unter das Mandat der UNRWA fallen, ist kein genereller Ausschluss vom Anwendungsbereich der Flüchtlingskonvention anzunehmen, sondern es ist auch bei ihnen stets individuell zu prüfen, ob sie die Voraussetzungen für die Anerkennung der Flüchtlingseigenschaft erfüllen (Art. 1 D des Abkommens vom 28. Juli 1951 über die Rechtsstellung der Flüchtlinge [FK, SR 0.142.30] i.V.m. Art. 1 A Ziff. 2 FK, Art. 3 AsylG). 4.2.3. Dem Gericht ist bekannt, dass die Bewegung H._______ (...) des Flüchtlingslager E._______ im Libanon kon­trolliert. Diese Bewegung ist bei diversen ausländischen Staaten auf Listen islamistischer Organisationen vermerkt, die sich terroristischer Mit­tel bedienen. Die H._______ versuchte diversen Berichten zufolge ihre Kontrolle im Lager - das Lager dürfte über 70'000 Personen beher­bergen - auszudehnen. Dabei tangiert sie Interessen der G._______, eine der stärkeren Ordnungsmächte im Lager. Auf die Sicherheit und Zustände im Lager, namentlich auf die dort tätigen Gruppierungen, haben die libane­sischen Behörden und die libanesische Armee praktisch keinen Einfluss. In den letzten Jahren war diversen Medienberichten zu entnehmen, dass sich Gewaltakte und Unruhen im Lager ereignet haben. Es gab nament­lich auch Zusammenstösse, die sowohl unter der G._______ als auch der H._______ Todesopfer forderten. Die Urheberschaften solcher Ge­waltakte konnten meist mangels unparteiischer Quellen nicht mit ge­nügender Sicherheit festgestellt werden. 4.2.4. Der Befragung zu den Ausreisegründen in der Empfangsstelle kommt aufgrund des summarischen Charakters für die Beurteilung der Glaubwürdigkeit der vorgebrachten Asylgründe nur ein beschränkter Be­weiswert zu (vgl. Entscheidungen und Mitteilungen der Schweizerischen Asylrekurskommission [EMARK] 1993 Nr. 3). Angesichts dessen kann es nicht angehen, blossen Unvollständigkeiten und unwesentlichen Abwei­chungen zu späteren Aussagen eine entscheidende Bedeutung beizu­messen. Während nicht davon ausgegangen werden darf, dass Asyl­bewerber im Rahmen dieser Kurzbefragung die Möglichkeit oder gar die Pflicht haben, sämtliche Gründe ihres Asylgesuches abschliessend dar­zulegen, ist dennoch sehr wohl von Bedeutung, wenn zentrale Flucht­gründe in der Kurzbefragung nicht erwähnt oder klare Aussagen in der Empfangsstelle in wesentlichen Punkten der Asylbegründung im Wider­spruch zu späteren Aussagen in der Anhörung stehen. Der Beschwerdeführer hat erstmals in der Anhörung vom 5. Dezember 2007 seine Zugehörigkeit zum F._______ und die für seine Ausreise aus dem Libanon weiteren ausschlaggebenden zentralen Be­weggründe angegeben. Er und sein Arbeitskollege und Freund A.A. hät­ten in derselben Funktion beim F._______ gearbeitet und den Auftrag umgesetzt, islamische Bewegungen wie die H._______ respektive eine ihrer im Aufbau bestehende Untergruppe im Lager zu observieren und darüber (...) zu berichten. A.A. sei von der Bewegung H._______ enttarnt und getötet worden, weshalb der Be­schwerdeführer mit seiner eigenen baldigen Enttarnung und Tötung habe rechnen müssen. Da er ohne einen erkennbaren Grund kein Wort über diese Ausreisegründe in der ersten Befragung hat verlauten lassen, son­dern sich auf darauf beschränkt hat, sich als Sympathisanten der G._______ zu bezeichnen, der von der H._______ vor etwa zehn Jahren mitge­nommen und geplagt worden sei, mithin alle für die Flucht ausschlag­gebenden Gründe nicht einmal ansatzweise erwähnt hat, erscheinen die zentralen Fluchtgründe als nachgeschoben und unglaubhaft. An diesem Schluss kann das undatierte Bestätigungsschreiben eines Verantwortli­chen der G._______, ob es nun echt ist oder nicht, nichts ändern. Es steht zu­dem im Widerspruch zum ausweichenden Aussageverhalten des Be­schwerdeführers und zu seiner dürftigen Kenntnis über (...) Vorgänge (Protokoll A30 S. 7 ff.; siehe auch nachfolgende Erwägung). Schliesslich hat er in diesem Zusammenhang erklärt, dass ihm die H._______ nicht mit persönlichen Nachteilen gedroht habe; er könne nicht einmal sagen, dass er in ihrem Fokus stehe (vgl. A30 S. 8). 4.2.5. Die wesentlichen Schilderungen des Beschwerdeführers - betref­fend die Ereignisse bei der G._______ und F._______, die Vor­kommnissen im Lager, die zeitlichen Angaben, die Schwierigkeiten bei der Umsetzung der Aufträge des (...) und den damit ver­bundenen Folgen, die Reisemodalitäten, etc. - sind selbst in den unge­steuerten Phasen der Befragungen durchwegs knapp, äusserst vage und wenig substanziiert, und sie vermitteln nicht den Eindruck selbst erlebter Ereignisse. So nehmen insbesondere die Schilderungen eines von der G._______ angestellten (...) im Lager keine realistisch anmutenden Konturen an. Der sinngemässe Erklärungsversuch in der Beschwerde, wonach ein gezielteres Nachfragen und weitere Abklärun­gen des BFM die Asylgründe der Beschwerdeführenden (substanziiert) zu Protokoll gebracht hätten, überzeugt angesichts der Antworten der Be­schwerdeführenden in ihren Anhörungen nicht. Auch das monatelange Verharren im Lager nach der Ermordung des Freundes A.A. (...) spricht angesichts der angeblich hohen Gefahr, nun ebenfalls durch die H._______ getötet zu werden, erheblich gegen das Be­stehen einer begründete Furcht und die plötzliche Notwendigkeit einer Flucht. Dass der angebliche Vorfall mit der H._______ aus dem Jahr 1995 (Entführung, fünftägige Haft und Anzünden der Haare) aufgrund der verflossenen Zeit bis zur Ausreise nicht ausreisebestimmend gewesen war, versteht sich von selbst. Die zentralen Asylangaben des Beschwer­deführers und seiner Ehefrau bleiben damit nicht glaubhaft, und damit er­scheint auch die Verfolgung aus den von ihnen angegebenen Gründen, in Übereinstimmung mit der Erkenntnis der Vorinstanz, als nicht glaubhaft gemacht. Zur Vermeidung von Wiederholungen in Bezug auf die Unge­reimtheiten kann zudem auf die zutreffenden Erwägungen in der ange­fochtenen Verfügung, an welchen das BFM bei richtiger Lesweise auch in der Vernehmlassung festgehalten hat, verwiesen werden. Die Beschwerdeführenden konnten damit keine Gründe nach Art. 3 AsylG nachweisen oder glaubhaft machen. Die Vorinstanz hat demnach zu Recht die Flüchtlingseigenschaft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6</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keine asylrechtlich erhebliche Gefährdung nachweisen oder glaubhaft machen konnten, findet der in Art. 5 AsylG verankerte Grundsatz der Nichtrückschiebung im vorliegenden Verfahren keine Anwendung. Eine Rückkehr der Beschwerdeführenden in den Herkunftsstaat ist demnach unter dem Aspekt von Art. 5 AsylG rechtmässig. Sodann ergeben sich weder aus den Aussagen der Beschwerdeführen­den noch aus den Akten Anhaltspunkte dafür, dass sie für den Fall einer Ausschaffung in den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aktuelle allgemeine Menschenrechtssituation im Herkunftsstaat lässt den Wegweisungsvollzug klarerweise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Beschwerdeführenden palästinensischer Ethnie stammen aufgrund der Lingua-Abklärungen und ihrer eigenen Angaben aus dem Libanon, wo sie geboren seien und bis zur Ausreise gelebt haben. Sie verfügen dort noch über ein Familiennetz (A1 S. 3; A3 S. 3; A29 S. 3 f.; A30 S. 9) und können daher - auch wenn sie dies in Abrede zu stellen versuchen - wie andere Personen palästinensischer Herkunft sowohl innerhalb als auch ausserhalb des Lagers leben und/oder zu ihren Verwandten zurückkehren, so dass ihre Situation als relativ gesichert gelten kann. Eigenen Angaben zufolge weisen beide Beschwerdeführenden zwar bescheidene Schulbildungen auf. Der Beschwerdeführer ist aber vor seinem Wegzug aus dem Heimatland als Besitzer eines (...)geschäfts (A30 S.10), als (...) und als (...) arbeitstätig gewesen. Zudem habe sich die Beschwerdeführerin als (...) ausbilden lassen. Angesichts des Alters und ihrer bisherigen Berufsausbildungen oder -erfahrungen ist davon auszugehen, dass sie sich in ihrer Heimat in den Arbeitsmarkt wieder integrieren können. Dem ärztlichen Bericht vom 15. Juni 2009 (act. 14) ist im Wesentlichen zu entnehmen, dass der Beschwerdeführer zwar gewisse Schmerzen habe, sich aber in einem stabilen Gesundheitszustand befinde und an keiner tief greifenden Erkrankung leide: Er erscheine psychisch stabil, sei reisefähig und benötige weder regelmässigen Gespräche noch aktuell weitere Medikamente. Einschneidendes Erlebnis sei die Inhaftierung ca. 1997/98 (gemäss Asylakten: 1995) gewesen; eventuell sollte er einen Psychiater aufsuchen. Behandlungsmöglichkeiten sollten im Herkunftsland möglich sein. Sollte im Falle der Rückkehr die Todesangst wieder auftreten, drohe eine psychische Dekompensation. Insgesamt ist von einem genügenden gesundheitlichen Zustand des Beschwerdeführers auszugehen; allfällige gesundheitliche Probleme könnten im Libanon behandelt werden. Die beiden Kinder sind in einem Alter, in dem sie noch voll von den Eltern abhängig sind und in erster Linie im Familienverbund bleiben sollen. Damit ergibt sich auch unter Berücksichtigung des Kindeswohls kein Aspekt, der einem Vollzug der Wegweisung in den Libanon entgegensteht.</w:t>
      </w:r>
    </w:p>
    <w:p>
      <w:r>
        <w:rPr>
          <w:b/>
        </w:rPr>
        <w:t>E. 6.3</w:t>
      </w:r>
    </w:p>
    <w:p>
      <w:r>
        <w:t>Schliesslich obliegt es den Beschwerdeführenden, deren Identität aufgrund ihrer UNRWA-Ausweise und anderer Dokumente nachweisbar ist, sich bei der zuständigen Vertretung Libanons die für die Rückkehr erforderlichen Reisedokumente zu beschaffen (vgl. Art. 8 Abs. 4 AsylG, BVGE 2008/34 E. 12), weshalb der Wegweisungsvollzug auch möglich ist.</w:t>
      </w:r>
    </w:p>
    <w:p>
      <w:r>
        <w:rPr>
          <w:b/>
        </w:rPr>
        <w:t>E. 6.4</w:t>
      </w:r>
    </w:p>
    <w:p>
      <w:r>
        <w:t>Zusammenfassend hat das BFM den Wegweisungsvollzug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Die Verfahrenskosten sind durch den am 25. März 2008 bezahlten Kostenvorschuss von Fr. 600.-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