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E-1401/2023 vom 29. März 2023</w:t>
      </w:r>
    </w:p>
    <w:p>
      <w:r>
        <w:t>Bundesverwaltungsgericht, 2023-03-29, FR</w:t>
      </w:r>
    </w:p>
    <w:p>
      <w:r>
        <w:rPr>
          <w:b/>
        </w:rPr>
        <w:t xml:space="preserve">Quelle: </w:t>
      </w:r>
      <w:r>
        <w:t>https://mcp.opencaselaw.ch/entscheid/bvger_E-1401_2023</w:t>
      </w:r>
    </w:p>
    <w:p>
      <w:r>
        <w:t>FR: TAF E-1401/2023 du 29 mars 2023</w:t>
      </w:r>
    </w:p>
    <w:p>
      <w:r>
        <w:t>IT: TAF E-1401/2023 del 29 marzo 2023</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1 LAsi et art. 10 de l'Ordonnance du 1er avril 2020 sur les mesures prises dans le domaine de l'asile en raison du coronavirus [RS 142.318]) prescrits par la loi, le recours est recevable.</w:t>
      </w:r>
    </w:p>
    <w:p>
      <w:r>
        <w:rPr>
          <w:b/>
        </w:rPr>
        <w:t>E. 1.5</w:t>
      </w:r>
    </w:p>
    <w:p>
      <w:r>
        <w:t>Il est renoncé à un échange d'écritures (art. 111a al. 1 LAsi).</w:t>
      </w:r>
    </w:p>
    <w:p>
      <w:r>
        <w:rPr>
          <w:b/>
        </w:rPr>
        <w:t>E. 2</w:t>
      </w:r>
    </w:p>
    <w:p>
      <w:r>
        <w:t>Comme relevé, le recourant fait grief au SEM d'avoir insuffisamment instruit sa situation médicale, notamment sur le plan psychique (cf. mémoire de recours, p. 2). Il fait en cela valoir un grief formel qu'il convient d'examiner en premier lieu, dès lors qu'il est susceptible d'entraîner l'annulation de la décision querellée indépendamment des chances de succès du recours sur le fond (cf. ATF 144 I 11 consid. 5.3, et la jurisprudence citée; ATAF 2019 VII/6 consid. 4.1, 2013/34 consid. 4.2, 2013/23 consid. 6.1.3, 2010/35 consid. 4.1.1, et la jurisprudence citée).</w:t>
      </w:r>
    </w:p>
    <w:p>
      <w:r>
        <w:rPr>
          <w:b/>
        </w:rPr>
        <w:t>E. 2.1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2.2</w:t>
      </w:r>
    </w:p>
    <w:p>
      <w:r>
        <w:t>En l'occurrence, au moment où l'autorité intimée a statué, l'intéressé avait eu accès à plusieurs reprises à des structures de soins et avait pu exposer ses problèmes. Le SEM disposait de plusieurs documents médicaux et des déclarations du recourant lors de son audition (cf. supra, let. E). Nanti de ces informations, le SEM a retenu que l'état de santé du recourant ne l'avait pas empêché de vivre de manière autonome et de subvenir à ses besoins depuis son arrivée en Europe ; en outre, la situation médicale de l'intéressé, qui avait reçu des soins en E._______ et en Suisse, était actuellement stable ; ses problèmes de « tache au cerveau », vis « tordues » et d' « eau dans le sang » n'étaient en rien étayés ; rien n'indiquait ainsi qu'en cas de retour au Maroc, son état de santé risquait de se dégrader rapidement au point de conduire, d'une manière certaine, à une atteinte sérieuse, durable et notamment plus grave de son intégrité physique ; dès lors, il a estimé que les affections invoquées par le recourant n'étaient pas de nature à faire obstacle à l'exécution de son renvoi au Maroc, où il aurait par ailleurs accès à des soins médicaux. Force est ainsi d'admettre que le SEM a dûment motivé sa décision et pris en compte les éléments médicaux figurant alors au dossier, lesquels ne suggéraient pas, selon lui, l'existence d'un trouble susceptible de s'opposer à l'exécution du renvoi. On ne saurait en particulier reprocher à l'autorité intimée de ne pas avoir investigué plus avant l'état de santé psychique du recourant, et ce quand bien même le suivi préconisé n'aurait pas encore pu être mis en place au moment de rendre la décision querellée. Il sied encore de relever que l'intéressé n'a guère collaboré à l'éclaircissement de son état de santé. En effet, suite à sa crise d'épilepsie du 5 janvier 2023 et à sa prise en charge au service des urgences, il a refusé d'être examiné, tout en refusant par ailleurs de quitter les lieux et en se montrant agressif, de sorte qu'il a dû être maîtrisé et conduit au poste de police (cf. rapports médicaux du 5 janvier 2023 et du 9 janvier 2023). Le 17 janvier 2023, comme relevé, il s'est en outre montré peu compliant lors d'un examen radiographique visant à éclaircir la suspicion de tuberculose précitée (cf. rapport médical du 17 janvier 2023). Il ne s'est pas rendu à son entretien avec son représentant du 28 février 2023 et a renoncé de ce fait à faire valoir ses arguments sur le projet de décision.</w:t>
      </w:r>
    </w:p>
    <w:p>
      <w:r>
        <w:rPr>
          <w:b/>
        </w:rPr>
        <w:t>E. 2.3</w:t>
      </w:r>
    </w:p>
    <w:p>
      <w:r>
        <w:t>Dans ces conditions, le grief d'ordre formel invoqué par le recourant est infondé et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3.2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4.1</w:t>
      </w:r>
    </w:p>
    <w:p>
      <w:r>
        <w:t>En l'occurrence, comme relevé, l'intéressé a prétendu avoir définitivement quitté le Maroc afin d'échapper aux menaces des personnes qui avaient tenté en vain de lui soutirer de l'argent sur la base de faux témoignages, et étaient à l'origine de son emprisonnement injustifié (cf. supra, let D). Même à admettre ses allégations, pourtant non étayées sur ce point, force est de constater que les préjudices subis ou encourus par le recourant, victime selon lui d'un acte crapuleux, ne reposent pas sur un des motifs exhaustifs listés à l'art. 3 LAsi et ne sont donc pas pertinents en matière d'asile. On peut en outre douter de l'actualité de la menace qui pèserait sur l'intéressé 20 ans après son départ du Maroc, l'allégation selon laquelle les personnes en question continueraient de le menacer (cf. procès-verbal d'audition sur les motifs d'asile, R14) ne reposant que sur ses déclarations. De plus, le recourant n'a pas établi à satisfaction de droit que les autorités marocaines ne le protègeraient pas, le cas échéant, contre ces personnes ; la seule allégation selon laquelle le père du lésé était chauffeur de taxi et connaissait « toutes les autorités du coin » (cf. ibidem, R46), outre qu'elle n'est en rien étayée, ne suffit pas à modifier cette appréciation. Rien n'indique encore que l'intéressé, qui aurait été libéré après avoir purgé sa peine de prison, court un quelconque risque d'être incarcéré à nouveau pour les mêmes motifs en cas de retour au Maroc ; il ne le soutient d'ailleurs pas, à tout le moins expressément.</w:t>
      </w:r>
    </w:p>
    <w:p>
      <w:r>
        <w:rPr>
          <w:b/>
        </w:rPr>
        <w:t>E. 4.2</w:t>
      </w:r>
    </w:p>
    <w:p>
      <w:r>
        <w:t>L'allégation du recourant selon laquelle des cousins au Maroc lui reprocheraient de s'être converti au christianisme et lui en voudraient au point que sa vie serait en danger ne repose que sur ses déclarations et paraît articulée pour les besoins de la cause. Elle n'est en outre pas déterminante en matière d'asile, l'intéressé n'ayant, ici non plus, pas démontré qu'il ne pourrait, si nécessaire, obtenir la protection des autorités marocaines vis-à-vis de ses cousins.</w:t>
      </w:r>
    </w:p>
    <w:p>
      <w:r>
        <w:rPr>
          <w:b/>
        </w:rPr>
        <w:t>E. 4.3</w:t>
      </w:r>
    </w:p>
    <w:p>
      <w:r>
        <w:t>Il sied encore de souligner que lors de son audition, l'intéressé a d'emblée déclaré : « Je suis un ancien consommateur de cocaïne. Je suis venu en Suisse pour pouvoir mettre un terme à mon addiction » (cf. ibidem, R2). Au moment où il a été invité à exposer ses motifs d'asile, il s'est à nouveau référé à son souhait de mettre fin à ses addictions (cf. ibidem, R34). Le dépôt de sa demande d'asile en Suisse paraît ainsi essentiellement - sinon exclusivement - guidée par des considérations médicales, étrangères à la question de la reconnaissance de la qualité de réfugié.</w:t>
      </w:r>
    </w:p>
    <w:p>
      <w:r>
        <w:rPr>
          <w:b/>
        </w:rPr>
        <w:t>E. 4.4</w:t>
      </w:r>
    </w:p>
    <w:p>
      <w:r>
        <w:t>Sur le vu de ce qui précède, le Tribunal, à l'instar du SEM, considère que les déclarations de l'intéressé ne sont pas pertinentes en matière d'asile. Celui-ci ne fait pas valoir d'argument sur ce point au stade du recours.</w:t>
      </w:r>
    </w:p>
    <w:p>
      <w:r>
        <w:rPr>
          <w:b/>
        </w:rPr>
        <w:t>E. 4.5</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7.5</w:t>
      </w:r>
    </w:p>
    <w:p>
      <w:r>
        <w:t>En l'occurrence, pour les raisons exposées,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C'est le lieu de noter que le recourant ne saurait davantage être suivi lorsqu'il soutient que le stress engendré par la présente procédure constitue une mesure contraire à l'art. 3 CEDH. En ce qui concerne son état de santé, de manière plus générale, il peut être renvoyé au consid. 8 ci-dessous, dont il ressort que l'exécution de son renvoi ne contrevient pas à la jurisprudence de la CourEDH (cf. not. arrêt de la CourEDH Paposhvili c. Belgique [GC], du 13 décembre 2016, requête n° 41738/10, par. 183).</w:t>
      </w:r>
    </w:p>
    <w:p>
      <w:r>
        <w:rPr>
          <w:b/>
        </w:rPr>
        <w:t>E. 7.6</w:t>
      </w:r>
    </w:p>
    <w:p>
      <w:r>
        <w:t>Dès lors, l'exécution du renvoi du recourant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8.2</w:t>
      </w:r>
    </w:p>
    <w:p>
      <w:r>
        <w:t>Il est notoire que le Maroc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8.3.1</w:t>
      </w:r>
    </w:p>
    <w:p>
      <w:r>
        <w:t>En ce qui concerne l'état de santé du recourant,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2011/50 consid. 8.3 et les références citées).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Martina Caroni / Nicole Scheiber / Christa Preisig / Margrite Zoeteweij, Migrationsrecht, 4ème édition 2018, p. 300).</w:t>
      </w:r>
    </w:p>
    <w:p>
      <w:r>
        <w:rPr>
          <w:b/>
        </w:rPr>
        <w:t>E. 8.3.2</w:t>
      </w:r>
    </w:p>
    <w:p>
      <w:r>
        <w:t>Comme relevé, l'intéressé présente principalement une problématique d'addiction aux drogues nécessitant une prise en charge spécialisée. A cet égard, le Maroc dispose de structures médicales suffisantes pour assurer les soins - à tout le moins essentiels - dont l'intéressé pourrait avoir besoin, y compris des soins de santé mentale (cf. arrêt du Tribunal E-285/2020 du 29 janvier 2020, p. 15 et E-3778/2016 du 30 avril 2018 consid. 7.3.5). En particulier, la fondation Mohammed V a créé douze centres de désintoxication situés dans les grandes villes du pays, dont un à C._______ (cf. arrêt du Tribunal E-2580/2018 du 13 mai 2019, p. 12). Leur pôle médical, géré par le ministère marocain de la santé, emploie des professionnels formés en addictologie (médecins spécialisés en addictologie, psychiatres, psychologue et infirmiers ; https://www.fm5.ma/fr/programme-national-lutte-contre-conduites-addictives, lien consulté le 29 mars 2023). Par ailleurs, l'épilepsie que présente a priori l'intéressé n'est pas un trouble s'opposant à l'exécution du renvoi. Aucun élément au dossier ne suggère que cette affection nécessite une prise en charge urgente, l'intéressé ayant même cessé de prendre son traitement. Une médication lui a toutefois été prescrite en Suisse et rien n'indique qu'il ne pourra pas, s'il le souhaite, poursuivre ce traitement au Maroc. En outre, comme relevé, il ressort des certificats précités que la suspicion de tuberculose concernant l'intéressé n'a pas été confirmée. Celui-ci n'a produit aucun document relatif à l'examen complémentaire prévu le 31 janvier 2023. Il est dès lors permis de penser que cette consultation, si elle a eu lieu, n'a pas davantage permis de poser un tel diagnostic, ce que l'intéressé n'aurait pas manqué de communiquer à l'autorité. Rien ne permet donc de retenir que le recourant souffrirait de tuberculose et, a fortiori, que ce trouble appelle des mesures médicales urgentes. En tout état de cause, rien n'indique que cette affection ne pourrait être traitée au Maroc. La « fracture du crâne », la « tache » dans le cerveau et « l'eau dans le sang » alléguées par l'intéressé ne trouvent écho dans aucun des documents médicaux figurant au dossier. Le recourant, qui avait tout loisir de faire part de ces troubles aux médecins qui l'ont examiné en Suisse, ne l'a apparemment pas fait. La réalité de ces affections paraît ainsi sujette à caution. Partant, celles-ci ne sauraient faire obstacle à l'exécution du renvoi. Les problèmes dentaires et gingivaux de l'intéressé ne sont pas suffisamment graves pour s'opposer à l'exécution de son renvoi, et pourront, si nécessaire, être traités au Maroc. Enfin, ce pays dispose d'un système d'assurance sociale permettant à l'intéressé d'accéder aux soins dont il pourrait avoir besoin. Depuis 2005, tous les citoyens marocains sont en effet tenus d'être affiliés à une couverture médicale de base appelée l'Assurance Maladie Obligatoire (AMO), via leur caisse nationale de rattachement. Les plus démunis ont accès au Régime d'Assistance Médicale (RAMED), ce régime étant fondé sur le principe de l'assistance sociale et de la solidarité nationale. Il permet aux personnes non assujetties à l'AMO de bénéficier de soins de santé dans les établissements publics, ainsi que des services sanitaires relevant de l'Etat (cf. not. arrêt du Tribunal E-1324/2021 du 16 avril 2021, consid. 9.3.3 ; D-5250/2019 du 24 mars 2021, pp. 12-14 ; E-2580/2018 du 13 mai 2019, p. 12 ; https://fr.april-international.com/fr/sante-des-voyageurs/l-organisation-du-systeme-de-sante-au-maroc, lien consulté le 29 mars 2023).</w:t>
      </w:r>
    </w:p>
    <w:p>
      <w:r>
        <w:rPr>
          <w:b/>
        </w:rPr>
        <w:t>E. 8.3.3</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8.3.4</w:t>
      </w:r>
    </w:p>
    <w:p>
      <w:r>
        <w:t>De surcroît, selon la pratique du Tribunal, des tendances suicidaires (« suicidalité ») ne constituent pas, en soi, un obstacle à l'exécution du renvoi, seule une mise en danger présentant des formes concrètes devant être prise en considération, lesquelles font défaut en l'espèce. Comme relevé, les déclarations de l'intéressé quant à ses idées suicidaires n'ont pas été constantes. En outre, les tentatives de suicides qu'il aurait commises par le passé ne sont pas documentées. Cela dit, si des menaces auto-agressives devaient apparaître ou réapparaître au moment de l'organisation du départ de Suisse, il appartiendrait aux autorités chargées de l'exécution du transfert de prévoir des mesures concrètes pour en prévenir la réalisation. Le cas échéant, il appartiendra également aux thérapeutes du recourant de le préparer à la perspective d'un retour au Maroc. Compte tenu de l'absence de pertinence des motifs d'asile, rien n'indique enfin qu'un retour au Maroc puisse en soi aggraver l'état de santé psychique de l'intéressé, au-delà de la péjoration fréquemment observée chez les personnes dont la demande d'asile a été rejetée.</w:t>
      </w:r>
    </w:p>
    <w:p>
      <w:r>
        <w:rPr>
          <w:b/>
        </w:rPr>
        <w:t>E. 8.3.5</w:t>
      </w:r>
    </w:p>
    <w:p>
      <w:r>
        <w:t>En définitive, l'état de santé de l'intéressé ne s'oppose pas à l'exécution de son renvoi.</w:t>
      </w:r>
    </w:p>
    <w:p>
      <w:r>
        <w:rPr>
          <w:b/>
        </w:rPr>
        <w:t>E. 8.4</w:t>
      </w:r>
    </w:p>
    <w:p>
      <w:r>
        <w:t>En outre, il ne ressort du dossier aucun autre élément dont on pourrait inférer que l'exécution du renvoi impliquerait une mise en danger concrète du recourant. A cet égard, l'autorité de céans relève que le recourant, malgré ses problèmes de santé précités, est dans la force de l'âge et au bénéfice d'une expérience professionnelle variée ; selon ses propres déclarations, il se serait notamment spécialisé dans les travaux de peinture (cf. procès-verbal de l'audition sur les motifs d'asile, R13). Il paraît ainsi en mesure de subvenir à ses besoins dans son pays d'origine, comme il l'a fait lors de son séjour en Europe. Rien n'indique par ailleurs qu'il ne pourra pas bénéficier du soutien de sa mère - avec laquelle il a gardé contact (cf. procès-verbal d'audition sur les motifs d'asile, R17) - à son retour, à tout le moins le temps de sa réinsertion. Comme relevé, sa soeur et son beau-frère vivent également au Maroc (cf. ibidem, R16).</w:t>
      </w:r>
    </w:p>
    <w:p>
      <w:r>
        <w:rPr>
          <w:b/>
        </w:rPr>
        <w:t>E. 8.5</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 conséquence, le recours doit également être rejeté sur les questions du renvoi et son exécution.</w:t>
      </w:r>
    </w:p>
    <w:p>
      <w:r>
        <w:rPr>
          <w:b/>
        </w:rPr>
        <w:t>E. 11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Comme relevé, l'intéressé demande l'assistance judiciaire « totale », mais indique uniquement ne pas pouvoir faire face aux frais de la procédure, ne requérant pas le soutien d'un mandataire d'office. Il a d'ailleurs déposé un recours complet et ne prétend aucunement avoir été empêché d'exposer tous ses arguments. Sa demande doit donc être considérée comme une demande d'assistance judiciaire partielle. Dans la mesure où les conclusions du recours n'étaient pas d'emblée vouées à l'échec et que le recourant peut être tenu pour indigent, la requête de dispense du paiement des frais de procédure doit être admise (art. 65 al. 1 PA). Il est par conséquent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