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E-1401/2015 vom 20. März 2015</w:t>
      </w:r>
    </w:p>
    <w:p>
      <w:r>
        <w:t>Bundesverwaltungsgericht, 2015-03-20, DE</w:t>
      </w:r>
    </w:p>
    <w:p>
      <w:r>
        <w:rPr>
          <w:b/>
        </w:rPr>
        <w:t xml:space="preserve">Quelle: </w:t>
      </w:r>
      <w:r>
        <w:t>https://mcp.opencaselaw.ch/entscheid/bvger_E-1401_2015</w:t>
      </w:r>
    </w:p>
    <w:p>
      <w:r>
        <w:t>FR: TAF E-1401/2015 du 20 mars 2015</w:t>
      </w:r>
    </w:p>
    <w:p>
      <w:r>
        <w:t>IT: TAF E-1401/2015 del 20 marzo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Aufgrund der Aktenlage ist auf die Durchführung eines Schriftenwechsels zu verzichten (Art. 111a Abs. 1 AsylG).</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SEM führt in der angefochtenen Verfügung aus, den von der Beschwerdeführerin im Laufe ihres Asylverfahrens gemachten Aussagen könne nicht entnommen werden, dass sie vor ihrer Flucht aus Eritrea mit ihrem Lebenspartner in einer eheähnlichen Gemeinschaft gelebt habe. So habe sie anlässlich der Bundesanhörung vom 19. Februar 2013 angegeben, sie hätte alleine an ihrem letzten Wohnsitz in D._______ gelebt. Ihr Lebenspartner habe Militärdienst geleistet und sei lediglich während des Urlaubs nach Hause gekommen. Ausserdem erstaune es, dass die Beschwerdeführerin erst rund zwei Jahre nach Gewährung des Asylstatus in der Schweiz um Familiennachzug für ihren angeblichen Lebenspartner ersucht habe.</w:t>
      </w:r>
    </w:p>
    <w:p>
      <w:r>
        <w:rPr>
          <w:b/>
        </w:rPr>
        <w:t>E. 5.2</w:t>
      </w:r>
    </w:p>
    <w:p>
      <w:r>
        <w:t>Die Beschwerdeführerin entgegnet in der Rechtsmittelschrift unter Hinweis auf das beigelegte Foto, sie und B._______ hätten im (...) in Eritrea geheiratet. Nach der Hochzeit hätten sie neben ihren Schwiegereltern in einem Haus gelebt. Ihr Ehemann sei im Militärdienst gewesen und habe jeweils nur einen Monat Ferien gehabt, die er bei ihr zu Hause verbracht habe. Dies habe sie bereits in der Bundesanhörung angegeben wie auch den Namen ihres Mannes. Sie hätten somit die Jahre 2004 bis etwa 2007 eindeutig bereits in Eritrea als Ehepaar zusammengelebt. Sie werde Fotos aus dieser Zeit zu den Akten nachreichen. Etwa im Jahr (...) sei ihr Mann direkt vom Militärdienst aus dem Land geflüchtet. Sie hätten sich - als sie später ebenfalls geflüchtet sei - in E._______ wieder getroffen und dort zusammengelebt. Anfangs 2012 habe sie durch die Hilfe von Verwandten und das Verkaufen von Gold die Möglichkeit zur Flucht in die Schweiz erhalten. Ihr Ehemann habe das Geld für die Flucht nicht aufbringen können. Deshalb habe sie entschieden, alleine zu flüchten, und gehofft, dass ihr Ehemann bald nachkommen könne. Als sie in der Schweiz gewesen sei, habe sie festgestellt, dass sie von ihrem Ehemann schwanger sei. Sie habe die Telefonnummer in der Schweiz wechseln müssen und deshalb für einige Zeit keinen Kontakt zu ihrem Ehemann herstellen können. Erst im Sommer 2014 habe sie durch dessen Bruder die aktuelle Telefonnummer ihres Mannes erhalten und ihn umgehend in Italien besucht. Bei diesem Besuch sei sie wieder schwanger geworden, die Geburt des zweiten Kindes sei voraussichtlich im (...). Ihr Ehemann sei bereit, seine Vaterschaft in DNA-Analysen zu bestätigen.</w:t>
      </w:r>
    </w:p>
    <w:p>
      <w:r>
        <w:rPr>
          <w:b/>
        </w:rPr>
        <w:t>E. 6.1</w:t>
      </w:r>
    </w:p>
    <w:p>
      <w:r>
        <w:t>Das SEM kam in der angefochtenen Verfügung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6.2</w:t>
      </w:r>
    </w:p>
    <w:p>
      <w:r>
        <w:t>Den Angaben der Beschwerdeführerin zufolge beschränkt sich ihr Kontakt mit B._______ bis zu dessen Desertion und anschliessender Ausreise aus Eritrea im Jahr (...) (vgl. Beschwerdeschrift, abweichend davon Anhörung Akten SEM A14/17 F44: im Jahr [...]) auf drei bis vier gemeinsam verbrachte Militärurlaube von jeweils einem Monat Dauer. Entsprechend gab die Beschwerdeführerin bei der Anhörung auch zu Protokoll, sie habe in D._______ alleine gelebt (vgl. A14/17 F16). Auch wenn einzuräumen ist, dass - wie in der Beschwerde geltend gemacht - das fehlende Zusammenleben auf die Militärdienstpflicht und damit auf äussere Umstände zurückzuführen ist, so spricht diese Tatsache doch gegen die vorgebrachte enge Beziehung respektive Familiengemeinschaft. Den Akten ist sodann zu entnehmen, dass die Flucht von B._______ nicht in Absprache mit der Beschwerdeführerin stattgefunden hatte und diese auch im Nachhinein von ihrem Ehemann nicht darüber benachrichtigt worden war; sie erfuhr erst rund drei Monate später durch die eritreischen Behörden von der Desertion B._______ (vgl. A14/17 F49, 61). Die Beschwerdeführerin macht weder geltend noch geht aus den Akten hervor, dass sie mit B._______ nach dessen Flucht noch in Kontakt gestanden hätte, sei es via Telefon, Briefe oder über Drittpersonen. Bezeichnenderweise gründete ihr Entschluss, Eritrea im (...) ebenfalls zu verlassen, nicht auf dem Wunsch, B._______ nachzureisen, sondern auf eigenen (wenn auch im Zusammenhang mit dessen Desertion stehenden) asylrelevanten Problemen (vgl. A14/17 F131). Erst als sie sich nach ihrer Flucht in F._______ bei ihrer Grossmutter aufhielt, kontaktierte B._______ sie telefonisch - offensichtlich erstmals nach dessen Flucht vor mehr als drei Jahren. Damit besteht für das Gericht kein Anlass zur Annahme, dass vor dem Zeitpunkt der Flucht des erstausreisenden B._______ eine tatsächlich gelebte dauerhafte persönliche Verbindung zwischen ihm und der Beschwerdeführerin bestanden hätte. Zum gleichen Schluss führt der Umstand, dass es wiederum mehr als zwei Jahre dauerte, bis die Beschwerdeführerin nach deren Einreise in die Schweiz mit B._______ Kontakt aufnahm. Ihre Begründung, sie hätten beide ihre Telefonnummer wechseln müssen und den Kontakt zueinander verloren, erscheint als blosse Schutzbehauptung. Es wäre vor dem behaupteten Hintergrund einer eheähnlichen Gemeinschaft zu erwarten gewesen, dass sie zumindest über Drittpersonen - wie die Grossmutter der Beschwerdeführerin, deren Eltern, den Bruder oder die Eltern von B._______ - in ständigem Kontakt zueinander gestanden hätten.</w:t>
      </w:r>
    </w:p>
    <w:p>
      <w:r>
        <w:rPr>
          <w:b/>
        </w:rPr>
        <w:t>E. 6.3</w:t>
      </w:r>
    </w:p>
    <w:p>
      <w:r>
        <w:t>Dass die Beschwerdeführerin mit B._______ vor ihrer Weiterreise in die Schweiz während einiger Monate in E._______ zusammengelebt, in dieser Zeit mit ihm die Tochter G._______ gezeugt und nach einem Besuch im Sommer 2014 des zwischenzeitlich nach Italien weitergereisten B._______ von ihm erneut schwanger ist, ist vor dem angeführten Hintergrund nicht von Bedeutung. Es bleibt mit Blick auf die vorstehenden Erwägungen festzuhalten, dass die Bestimmungen zum Familienasyl nach Art. 51 Abs. 1 und 4 AsylG weder zur Aufnahme von neuen respektive von zuvor noch gar nicht gelebten familiären Beziehungen noch zur Wiederaufnahme von bereits abgebrochenen familiären Beziehungen herangezogen werden können (vgl. Urteil des BVGer D-168/2015 E. 3.2 vom 23. Januar 2015).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 Die entsprechenden Anforderungen erfüllt die Beschwerdeführerin in Bezug auf B._______ nicht.</w:t>
      </w:r>
    </w:p>
    <w:p>
      <w:r>
        <w:rPr>
          <w:b/>
        </w:rPr>
        <w:t>E. 6.4</w:t>
      </w:r>
    </w:p>
    <w:p>
      <w:r>
        <w:t>Die Asylgesetzgebung bietet der Beschwerdeführerin keine weitere respektive andere Handhabe, um B._______ in die Schweiz nachzuziehen. Sind die Voraussetzungen des Familienasyls im Sinne von Art. 51 Abs. 1 und 2 AsylG nicht erfüllt, kann insbesondere Art. 8 EMRK nicht ergänzend angewendet werden. Sollte sie am Vorhaben des Nachzuges festhalten wollen, so ist sie an die für sie zuständige kantonale Behörde zu verweisen, welche für die Beurteilung des Familiennachzuges nach den ausländerrechtlichen Bestimmungen zuständig ist (vgl. dazu EMARK 2006 Nr. 8 E. 3.2 [S. 95, zweitletzter Absatz]).</w:t>
      </w:r>
    </w:p>
    <w:p>
      <w:r>
        <w:rPr>
          <w:b/>
        </w:rPr>
        <w:t>E. 6.5</w:t>
      </w:r>
    </w:p>
    <w:p>
      <w:r>
        <w:t>Dem Gesagten zufolge sind die von der Beschwerdeführerin in Aussicht gestellten Fotos aus den Jahren (...) nicht abzuwarten, da solche an den obigen Erwägungen nichts zu ändern vermögen würden.</w:t>
      </w:r>
    </w:p>
    <w:p>
      <w:r>
        <w:rPr>
          <w:b/>
        </w:rPr>
        <w:t>E. 7</w:t>
      </w:r>
    </w:p>
    <w:p>
      <w:r>
        <w:t>Nach dem Gesagten ergibt sich, dass das SEM zu Recht das Gesuch um Familienzusammenführung respektive um Bewilligung der Einreise in die Schweiz und Einbezug in die Flüchtlingseigenschaft gemäss Art. 51 Abs. 1 und 4 AsylG abgelehnt hat. Die angefochtene Verfügung ist daher zu bestätigen und die Beschwerde abzuweisen.</w:t>
      </w:r>
    </w:p>
    <w:p>
      <w:r>
        <w:rPr>
          <w:b/>
        </w:rPr>
        <w:t>E. 8</w:t>
      </w:r>
    </w:p>
    <w:p>
      <w:r>
        <w:t>Mit dem vorliegenden Entscheid wird das Gesuch um Befreiung von der Kostenvorschusspflicht (gemäss Art. 63 Abs. 4 VwVG) gegenstandslos. Nach der Abweisung der Beschwerde wären der Beschwerdeführerin grundsätzlich Kosten aufzuerlegen (vgl. dazu Art. 63 Abs. 1 VwVG). In Gutheissung des Gesuchs um Gewährung der unentgeltlichen Rechtspflege (im Sinne von Art. 65 Abs. 1 VwVG) wird jedoch auf das Erheben von Verfahrenskosten verzichtet, zumal das Verfahren nicht als von vornherein aussichtslos zu bezeichnen war und die Beschwerdeführerin gemäss der vorgelegten Fürsorgebestätigung als bedürftig gilt.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