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E-1398/2013 vom 10. April 2013</w:t>
      </w:r>
    </w:p>
    <w:p>
      <w:r>
        <w:t>Bundesverwaltungsgericht, 2013-04-10, DE</w:t>
      </w:r>
    </w:p>
    <w:p>
      <w:r>
        <w:rPr>
          <w:b/>
        </w:rPr>
        <w:t xml:space="preserve">Quelle: </w:t>
      </w:r>
      <w:r>
        <w:t>https://mcp.opencaselaw.ch/entscheid/bvger_E-1398_2013</w:t>
      </w:r>
    </w:p>
    <w:p>
      <w:r>
        <w:t>FR: TAF E-1398/2013 du 10 avril 2013</w:t>
      </w:r>
    </w:p>
    <w:p>
      <w:r>
        <w:t>IT: TAF E-1398/2013 del 10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hat die Flüchtlingseigenschaft der Beschwerdeführenden verneint, ihre Asylgesuche abgelehnt und sie aus der Schweiz weggewiesen. Sie beantragen in ihrer Beschwerde die teilweise Aufhebung der Verfügung hinsichtlich des Wegweisungsvollzugs. Zufolge Unzulässigkeit beziehungsweise Unzumutbarkeit des Vollzugs seien sie vorläufig aufzunehmen. Die Verneinung der Flüchtlingseigen­schaft, die Ab­lehnung der Asylge­suche und die Wegweisung an sich blieben somit unangefoch­ten und sind mit Ablauf der Beschwerdefrist in Rechtskraft er­wachsen (Dispositivziffern 1-3). Es ist deshalb einzig zu prüfen, ob die Wegweisung zu voll­zie­hen oder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Bosnien und Herzegowina ist demnach unter dem Aspekt von Art. 5 AsylG rechtmässig. Sodann ergeben sich weder aus den Aussagen der Beschwerdeführenden noch den Akten Anhaltspunkte dafür, dass sie für den Fall einer Ausschaffung in den Heimatstaat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3 des Übereinkommens vom 20. Novem­ber 1989 über die Rechte des Kindes (KRK, SR 0.107). Unter dem Aspekt des Kin­deswohls sind demnach sämtliche Umstände einzube­ziehen und zu würdigen, die im Hinblick auf eine Wegweisung wesent­lich erscheinen (vgl. BVGE 2009/28 E.9.3.2 S. 367 f.).</w:t>
      </w:r>
    </w:p>
    <w:p>
      <w:r>
        <w:rPr>
          <w:b/>
        </w:rPr>
        <w:t>E. 4.3.1</w:t>
      </w:r>
    </w:p>
    <w:p>
      <w:r>
        <w:t>Die Vorinstanz legt in ihrer Verfügung dar, weder die im Heimatstaat der Beschwerdeführenden herrschende politische Situation noch andere Gründe würden gegen die Zumutbarkeit der Rückführung dorthin sprechen. Der Vollzug sei ausserdem technisch möglich und praktisch durchführbar. Bosnien und Herzegowina sei ausserdem angesichts der innenpolitischen Situation mit Beschluss vom 25. Juni 2003 vom Bundesrat als verfolgungssicherer Staat im Sinne von Art. 6a Abs. 2 Bst. a AsylG bezeichnet worden.</w:t>
      </w:r>
    </w:p>
    <w:p>
      <w:r>
        <w:rPr>
          <w:b/>
        </w:rPr>
        <w:t>E. 4.3.2</w:t>
      </w:r>
    </w:p>
    <w:p>
      <w:r>
        <w:t>In ihrer Rechtsmitteleingabe führen die Beschwerdeführenden aus, die Roma seien im ganzen Balkan die am meisten diskriminierte Ethnie. Die den Minderheiten durch die Verfassung garantierten Rechte würden betreffend Roma nicht umgesetzt. Nach wie vor würde die Zugehörigkeit zur Ethnie der Roma bedeuten, dauernder Benachteiligung, Diskriminierung und gewalttätigen Übergriffen ausgesetzt zu sein. Aufgrund der in Bosnien und Herzegowina herrschenden Korruption würden weit verzweigte Beziehungen von privaten Personen zu Behördenmitgliedern auf verschiedenen Ebenen bestehen. Wenn Roma bei der Polizei Anzeige erstatteten, würde meist kein ordentliches Untersuchungsverfahren eingeleitet und die Täter gingen straflos aus. Die Beschwerdeführenden hätten sich nicht erneut bei der Polizei beschwert, da sie hätten befürchten müssen, von dieser beschimpft und fortgeschickt zu werden. Auch bei einer höheren Instanz hätten sie bestimmt keine Aussichten gehabt, zu ihrem Recht zu bekommen. Als eine junge Familie mit zwei kleinen Kindern hätten sie nicht die Möglichkeit, sich in Bosnien und Herzegowina eine Existenz in Sicherheit und Würde zu schaffen. Der Vollzug der Wegweisung sei deshalb unzulässig und unzumutbar.</w:t>
      </w:r>
    </w:p>
    <w:p>
      <w:r>
        <w:rPr>
          <w:b/>
        </w:rPr>
        <w:t>E. 4.3.3</w:t>
      </w:r>
    </w:p>
    <w:p>
      <w:r>
        <w:t>Nachdem die Beschwerdeführenden geltend machten, in Bosnien und Herzegowina nicht registriert zu sein, weshalb sie dort keine Identitätsdokumente erhalten würden, ist zu prüfen, ob sie bosnische Staatsangehörige sind.</w:t>
      </w:r>
    </w:p>
    <w:p>
      <w:r>
        <w:rPr>
          <w:b/>
        </w:rPr>
        <w:t>E. 4.3.3.1</w:t>
      </w:r>
    </w:p>
    <w:p>
      <w:r>
        <w:t>Nach dem Nationalitätengesetz (Law on Citizenship of Bosnia and Herzegowina, vgl. Art. 5 ff.) erhält eine Person die bosnisch-herzegowinische Staatsangehörigkeit ent­weder durch ihre Eltern, die bosnische Staatsangehörige sind, oder durch ihre Geburt im Staatsgebiet oder aus anderen Grün­den. Art. 15 des Gesetzes besagt, dass eine Person die Staatsangehörigkeit nicht verlieren könne, wenn sie dadurch staatenlos würde. Aufgrund dieser gesetzlichen Ausgangslage und der Tatsache, dass die Beschwerdeführenden und ihre Kinder in Bosnien und Herzegowina geboren wurden, ist überwiegend davon auszugehen, dass sie bosnisch-herzegowinische Staatsangehörige sind. In der Praxis ist in­dessen festzustellen, dass ethnische Roma bei der Beantragung von Identitätsausweisen auf etliche Probleme stossen können. Die meisten Schwierigkeiten sind bei vertriebenen und zurückkehrenden Roma, welche die höchs­ten Ablehnungsquoten haben, zu verzeichnen (SFH, Gemischt ethni­sche und binationale Familien in Ex-Jugoslawien, Ja­nuar 2007). Ein Programm des UNHCR soll jedoch Abhilfe schaffen und bietet Roma kosten­los rechtliche Hilfe bei der Registrierung in Geburtsregister an (UN News Service, UN refugee agency offers legal help to Roma, 6 may 2008). Aus dem Gesagten er­gibt sich, dass die Vorinstanz zu Recht von der bosnisch-her­zegowinischen Staatsangehörigkeit der Beschwerdeführenden aus­gegangen ist.</w:t>
      </w:r>
    </w:p>
    <w:p>
      <w:r>
        <w:rPr>
          <w:b/>
        </w:rPr>
        <w:t>E. 4.3.4</w:t>
      </w:r>
    </w:p>
    <w:p>
      <w:r>
        <w:t>Nach Einschätzung des Bundesverwaltungsgerichts ist aktuell nicht von einer allgemeinen Situation der Gewalt oder von kriegerischen oder bürgerkriegsähnlichen Verhältnissen in Bosnien und Herzegowina auszugehen, welche für die Beschwerdeführenden bei einer Rückkehr eine konkrete Gefährdung darstellen würden. Dennoch ist auf die spezifische Lage der Roma in Bosnien und Herzegowina einzugehen. Trotz des verankerten Minderheitenschutzes sind ethnische Roma im Alltag benachteiligt. Nebst der Papier­losigkeit stellen auch die schlechte Schulbildung und die damit ein­hergehende Arbeitslosigkeit und Verarmung sowie der schwierige Zu­gang zum bosnischen Ge­sundheitssystem ein Problem für Angehörige der Minderheiten dar. Roma haben erst mit dem Besitz von persönli­chen Dokumenten wie Geburtsurkunden, Identitätsausweisen, Reise­pässen oder Aufenthaltsbewilligungen am Wohnort Zugang zu Leis­tungen des Gesundheitssystems, zu humanitärer Hilfe und zu Nah­rungsmitteln. Damit sich Roma vermehrt registrieren lassen können, bietet - wie vorstehend erwähnt - ein Pro­gramm des UNHCR kostenlos rechtliche Hilfe bei deren Anmeldung in Geburtsregister. Auch der Zugang zu Wohnungen ist für Roma erschwert (vgl. Council of Euro­pe: Commissioner for Human Rights, Report by the Commissioner for Human Rights Mr. Thomas Hammar­berg on his visit to Bosnia and Herzegowina, 4 - 11 june 2007, 20. Februar 2008, S. 17 - 18; UN News Service, UN refugee agency offers legal help to Roma). Schät­zungen haben ergeben, dass in Bosnien und Herzegowina zirka 40'000 bis 80'000 Roma ernsthaften Problemen hinsichtlich der Ge­währung der Menschenrechte ausgesetzt sind. Dem Bosnien und Herzegowina Helsinki Committee zufolge haben nur ein Prozent der arbeitsfähigen Roma eine Anstellung, die sie bei einer wirtschaftlichen Krise als erste wieder verlieren (vgl. U.S. Department of State, Country Reports on Human Rights Practices - 2007, 11. März 2008). Das Land unterzeichnete im Sep­tember 2008 die von einigen europäischen Ländern und anderen Institutionen wie zwischenstaatli­chen Organisationen und Nichtregierungsorganisationen ausgearbei­tete Deklaration "Decade of Roma Inclusion 2005 bis 2015" zur Ver­besserung der Situation von Roma. In den Bereichen Gesundheit, Wohnen und Anstellungen wurde ein Programm entwickelt, das noch umzusetzen ist und finan­zielle Ressourcen erfordert. Die Umset­zung des Aktionspla­nes hinsichtlich der schulischen Förderung von Roma-Kindern hat zu einer leichten Ver­besserung geführt. Gestützt auf Zahlen aus dem Jahre 2006 und gemäss Angaben der Europäi­schen Kommission schliessen nur gerade 30 Prozent der Ro­ma-Kinder die obligatorische Schule ab (vgl. United Nations Country Team in Bosnia and Herzegowina, Com­mon Country Assessment [CCA] 2008, S.33). Überdies ist auch heute noch da­von auszugehen, dass die Republik Srpska mehrheitlich von ethni­schen Serben, die Föderation im Südwesten überwiegend von ethni­schen Kroaten und im Norden überwiegend von ethnischen Bos­njaken bevölkert wird (vgl. Länderkarten der ethnischen Bevölke­rungsanteilen in Bosnien und Herzegowina; http://www.ohr.int/ohr-info/maps/images/ethnic-composition-after-the-war-in-1998.gif und http://commons.wikimedia.org/wiki/File:DemoBIH-2006a.png). Die Beschwerdeführenden waren ihr ganzes Leben in F._______ wohnhaft, weshalb davon auszugehen ist, dass sie dort über soziale Anknüpfungspunkte verfügen. Der Beschwerdeführer hat als Händler ein gewisses Einkommen erzielt. Es kann somit davon ausgegangen werden, dass die Beschwerdeführenden in der Lage sein dürften, sich in F._______ wiederum eine Existenz aufzubauen. Aufgrund des erst fünfmonatigen Aufenthalts der Beschwerdeführenden in der Schweiz und des Alters der Kinder ([...] und [...]) ist ein Wegweisungsvollzug mit dem Kindeswohl grundsätzlich vereinbar. Ausserdem machen die Beschwerdeführenden keine medizinischen Einschränkungen oder spezifische Probleme betreffend ihre Kinder geltend. Aufgrund der individuellen Umstände erweist sich somit der Wegweisungsvollzug auch unter Berücksichtigung der im Heimatland herrschenden Situation der Roma als zumutbar für die Beschwerdeführenden.</w:t>
      </w:r>
    </w:p>
    <w:p>
      <w:r>
        <w:rPr>
          <w:b/>
        </w:rPr>
        <w:t>E. 4.4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Die Vorinstanz hat den Wegweisungsvollzug zu Recht als zulässig, zumutbar und möglich erachtet; eine Anordnung der vorläufigen Aufnahme fällt somit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den Beschwerdeführenden aufzuerlegen (Art. 63 Abs. 1 VwVG). Diese haben mit ihrer Beschwerde ein Gesuch um Gewährung der unentgeltlichen Prozessführung gemäss Art. 65 Abs. 1 VwVG gestellt, über welches noch nicht entschieden wurde. Nachdem die Beschwerde nicht von vornherein aussichtslos war und von der Mittellosigkeit der Beschwerdeführenden auszugehen ist, ist die unentgeltliche Prozessführung zu gewähren,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