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E-1397/2025 vom 28. August 2025</w:t>
      </w:r>
    </w:p>
    <w:p>
      <w:r>
        <w:t>Bundesverwaltungsgericht, 2025-08-28, DE</w:t>
      </w:r>
    </w:p>
    <w:p>
      <w:r>
        <w:rPr>
          <w:b/>
        </w:rPr>
        <w:t xml:space="preserve">Quelle: </w:t>
      </w:r>
      <w:r>
        <w:t>https://mcp.opencaselaw.ch/entscheid/bvger_E-1397_2025</w:t>
      </w:r>
    </w:p>
    <w:p>
      <w:r>
        <w:t>FR: TAF E-1397/2025 du 28 août 2025</w:t>
      </w:r>
    </w:p>
    <w:p>
      <w:r>
        <w:t>IT: TAF E-1397/2025 del 28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E-1397/2025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kommt in der angefochtenen Verfügung zum Schluss, dass die Vorbringen des Beschwerdeführers weder den Anforderungen von Art. 7 AsylG an das Glaubhaftmachen noch denjenigen von Art. 3 AsylG an die Flüchtlingseigenschaft zu genügen vermöchten.</w:t>
      </w:r>
    </w:p>
    <w:p>
      <w:r>
        <w:rPr>
          <w:b/>
        </w:rPr>
        <w:t>E. 5.1.1</w:t>
      </w:r>
    </w:p>
    <w:p>
      <w:r>
        <w:t>Die Blutfehde gehe auf das Jahr 2013 zurück, womit es diesem Vor- bringen an der Aktualität fehle, zumal der Beschwerdeführer noch fast zehn Jahre in der Türkei gelebt habe. Die geschilderten Ereignisse ([…] Ernte sowie die […]) seien auch nicht gezielt gegen ihn gerichtet gewesen, son- dern hätten seiner Familie gegolten. So sei er im Zeitpunkt, als die (…) verbrannt worden sei, bereits in der Schweiz gewesen. Er wisse im Übrigen nicht, ob dies überhaupt seine Kontrahenten verursacht hätten. Seine Mut- ter und seine (…) Geschwister lebten nach wie vor in F._______. Es gebe keine Hinweise, dass die Kontrahenten nach ihm trachteten. Die Asylgründe im Zusammenhang mit dem Reputationsverlust und der Scheidung seien flüchtlingsrechtlich nicht relevant. Auch die Razzien stell- ten keine flüchtlingsrechtlich relevante Massnahme dar. Seine Vermutung, dass das nicht ausgehändigte Blutgeld Grund für die andauernde Blut- fehde sei, weise klar auf einen privaten Streit statt auf eine flüchtlingsrecht- lich relevante Verfolgung hin.</w:t>
      </w:r>
    </w:p>
    <w:p>
      <w:r>
        <w:rPr>
          <w:b/>
        </w:rPr>
        <w:t>E. 5.1.2</w:t>
      </w:r>
    </w:p>
    <w:p>
      <w:r>
        <w:t>Hinsichtlich der Ausgrenzung in seiner Nachbarschaft wegen der (…) sei das Folgende festzuhalten: Es sei allgemein bekannt, dass Angehörige der kurdischen Bevölkerung in der Türkei Schikanen und Benachteiligun- gen verschiedenster Art ausgesetzt sein könnten. Dabei handle es sich nicht um ernsthafte Nachteile im Sinne des Asylgesetzes, die einen Ver- bleib im Heimatland verunmöglichten oder unzumutbar erschwerten. Aus</w:t>
      </w:r>
    </w:p>
    <w:p>
      <w:r>
        <w:t>E-1397/2025 Seite 6 diesem Grund führe die allgemeine Situation, in der sich die kurdische Be- völkerung befinde, gemäss gefestigter Praxis für sich allein nicht zur Aner- kennung der Flüchtlingseigenschaft. Diese Einschätzung gelte trotz der sich nach dem Putschversuch im Juli 2016 allgemein verschlechternden Menschenrechtslage in der Türkei, von der auch die Kurden, insbesondere im Südosten der Türkei betroffen seien.</w:t>
      </w:r>
    </w:p>
    <w:p>
      <w:r>
        <w:rPr>
          <w:b/>
        </w:rPr>
        <w:t>E. 5.1.3</w:t>
      </w:r>
    </w:p>
    <w:p>
      <w:r>
        <w:t>Die vorgebrachten Verfahren betreffend (…) und (…) (mit den Ver- fahrensnummern […] und […]) dienten rechtsstaatlich legitimen Zwecken, seien somit rechtmässig und flüchtlingsrechtlich nicht relevant.</w:t>
      </w:r>
    </w:p>
    <w:p>
      <w:r>
        <w:rPr>
          <w:b/>
        </w:rPr>
        <w:t>E. 5.1.4</w:t>
      </w:r>
    </w:p>
    <w:p>
      <w:r>
        <w:t>Zum Verfahren betreffend «Unterstützung der Organisation» (mit der Verfahrensnummer […]) habe er abgesehen von einem Trennungsbe- schluss – trotz wiederholter Aufforderung – keine Unterlagen eingereicht. Seine damalige Rechtsvertretung, die offensichtlich Zugang zu seinen Ge- richtsunterlagen im System UYAP gehabt habe, habe gar bestätigt, dass es dieses Verfahren nicht gebe. Es sei zwar verwunderlich, dass das Ver- fahren verschwunden sei. Dies weise jedoch auf einen bekannten Punkt hin. In der Türkei würden Ermittlungs-/Untersuchungsverfahren oft in teils hoher Zahl eingeleitet, aber häufig auch wieder eingestellt. Es sei im Zu- sammenhang mit gerichtlichen Verfahrensdokumenten mittlerweile öffent- lich bekannt, dass sie in der Türkei problemlos gegen Entgelt beschafft werden könnten, sei dies via professionelle Fälscher oder gar korrupte Jus- tizangestellte. Die türkische Justiz sei nämlich derzeit von einem beträcht- lichen Korruptionsproblem geprägt, über das auch türkische Medien be- richteten. Da dieses Verfahren in seiner gesamten Gerichtsakte nicht oder nicht mehr ersichtlich sei, sei davon auszugehen, dass es mittlerweile ein- gestellt worden sei. Weiter sei anzumerken, dass er legal ausgereist sei. Nach dem Gesagten sei eine asylrechtlich relevante Verfolgung gemäss Art. 7 AsylG unglaubhaft.</w:t>
      </w:r>
    </w:p>
    <w:p>
      <w:r>
        <w:rPr>
          <w:b/>
        </w:rPr>
        <w:t>E. 5.2</w:t>
      </w:r>
    </w:p>
    <w:p>
      <w:r>
        <w:t>In der Beschwerdeeingabe wendet der Beschwerdeführer im Wesent- lichen ein, die Vorinstanz habe ihn zu Unrecht nicht als Flüchtling aner- kannt. Sie habe verkannt, dass die Blutfehde jedes Familienmitglied treffen könnte.</w:t>
      </w:r>
    </w:p>
    <w:p>
      <w:r>
        <w:t>E-1397/2025 Seite 7</w:t>
      </w:r>
    </w:p>
    <w:p>
      <w:r>
        <w:rPr>
          <w:b/>
        </w:rPr>
        <w:t>E. 6.1</w:t>
      </w:r>
    </w:p>
    <w:p>
      <w:r>
        <w:t>Nach Prüfung der Akten gelangt das Bundesverwaltungsgericht zum Schluss, dass die angefochtene Verfügung zu stützen ist. Die Vorinstanz ist darin mit ausführlicher und zutreffender Begründung zum Schluss ge- langt, dass die Vorbringen des Beschwerdeführers die Anforderungen von Art. 3 AsylG an die Flüchtlingseigenschaft nicht erfüllen. Der Beschwerde- führer vermag dem in seiner Beschwerde nichts entgegenzuhalten, was zu einer anderen Einschätzung führen könnte. Zur Vermeidung von Wieder- holungen kann daher mit nachfolgenden Ergänzungen auf die Ausführun- gen in der angefochtenen Verfügung verwiesen werden (vgl. a.a.O. E. II Ziff. 2).</w:t>
      </w:r>
    </w:p>
    <w:p>
      <w:r>
        <w:rPr>
          <w:b/>
        </w:rPr>
        <w:t>E. 6.2</w:t>
      </w:r>
    </w:p>
    <w:p>
      <w:r>
        <w:t>Mit der Vorinstanz ist festzustellen, dass der zeitliche und der sachliche Kausalzusammenhang zwischen der Blutfehde im Jahr 2013 und seiner Ausreise im Jahr 2022 durchbrochen ist, da er noch fast zehn Jahre im Heimatland verblieb. Ferner brachte er nicht vor, dass er aufgrund der Blut- fehde selbst gezielten Behelligungen ausgesetzt gewesen wäre (vgl. act. 29, F15, F136). Notabene leben (…) seiner Geschwister unbehel- ligt in F._______ (vgl. act. 29, F84, F89). Mit den pauschalen Verweisen auf die Rechtsprechung sowie Literatur im Zusammenhang mit der allge- meinen Situation betreffend die Blutfehde in der Türkei vermag er in der Beschwerdeeingabe nichts zu seinen Gunsten abzuleiten. Insbesondere reicht der blosse Hinweis auf das in der Türkei bestehende allgemeine Ri- siko in Zusammenhang mit Blutfehden nicht, um eine hierdurch eine ge- zielte Verfolgung des Beschwerdeführers nachzuweisen (vgl. a.a.O. S. 9).</w:t>
      </w:r>
    </w:p>
    <w:p>
      <w:r>
        <w:rPr>
          <w:b/>
        </w:rPr>
        <w:t>E. 6.3</w:t>
      </w:r>
    </w:p>
    <w:p>
      <w:r>
        <w:t>Weiter sind gemäss der Aktenlage ausschliesslich gemeinrechtliche Delikte ([…], […] und […]) Gegenstand der türkischen Strafverfahren. Es ist nicht ersichtlich, dass diese Strafverfahren mit einem Politmalus behaf- tet sein könnten, noch wurde dies in der Beschwerde vorgebracht.</w:t>
      </w:r>
    </w:p>
    <w:p>
      <w:r>
        <w:rPr>
          <w:b/>
        </w:rPr>
        <w:t>E. 6.4</w:t>
      </w:r>
    </w:p>
    <w:p>
      <w:r>
        <w:t>Zusammenfassend ist festzuhalten, dass die Vorinstanz zu Recht die Flüchtlingseigenschaft des Beschwerdeführers verneint und sein Asylge- such abgelehnt hat.</w:t>
      </w:r>
    </w:p>
    <w:p>
      <w:r>
        <w:rPr>
          <w:b/>
        </w:rPr>
        <w:t>E. 6.5</w:t>
      </w:r>
    </w:p>
    <w:p>
      <w:r>
        <w:t>Lehnt das SEM das Asylgesuch ab oder tritt es darauf nicht ein, so verfügt es in der Regel die Wegweisung aus der Schweiz und ordnet den Vollzug an; es berücksichtigt dabei den Grundsatz der Einheit der Familie (Art. 44 AsylG).</w:t>
      </w:r>
    </w:p>
    <w:p>
      <w:r>
        <w:t>E-1397/2025 Seite 8</w:t>
      </w:r>
    </w:p>
    <w:p>
      <w:r>
        <w:rPr>
          <w:b/>
        </w:rPr>
        <w:t>E. 6.5.1</w:t>
      </w:r>
    </w:p>
    <w:p>
      <w:r>
        <w:t>Soweit der Beschwerdeführer rügt, bei der Wegweisung und deren Vollzug sei der Grundsatz der Einheit der Familie gemäss Art. 44 AsylG zu berücksichtigen (vgl. Beschwerde S. S. 14), ist das Folgende festzustellen:</w:t>
      </w:r>
    </w:p>
    <w:p>
      <w:r>
        <w:rPr>
          <w:b/>
        </w:rPr>
        <w:t>E. 6.5.2</w:t>
      </w:r>
    </w:p>
    <w:p>
      <w:r>
        <w:t>Gemäss Art. 44 AsylG hat die Vorinstanz bei der Anordnung des Wegweisungsvollzugs den Grundsatz der Einheit der Familie zu beachten. Die ratio legis gebietet, dass Familienmitglieder nicht voneinander getrennt werden, sondern tatsächlich zusammenleben können und der Familie nach Möglichkeit ein einheitlicher Rechtsstatus eingeräumt wird. In personeller Hinsicht umfasst der Begriff der Familie dabei den Ehepartner und die min- derjährigen Kinder, wobei der in dauerhaft eheähnlicher Gemeinschaft le- bende Partner dem Ehepartner gleichzustellen ist (vgl. Entscheidungen und Mitteilungen der Schweizerischen Asylrekurskommission [EMARK] 1995 Nr. 24 E. 7 S. 227).</w:t>
      </w:r>
    </w:p>
    <w:p>
      <w:r>
        <w:rPr>
          <w:b/>
        </w:rPr>
        <w:t>E. 6.5.3</w:t>
      </w:r>
    </w:p>
    <w:p>
      <w:r>
        <w:t>Gemäss Art. 44 AsylG besteht ein Anspruch auf Einheit der Familie, solange das Asylverfahren des Kernfamilienmitgliedes nicht abgeschlos- sen ist beziehungsweise über ein mit dem Asylverfahren im Zusammen- hang stehendes Anwesenheitsrecht verfügt (vgl. Urteil des BVGer E-7847/2009 vom 2. September 2011 E. 5.2.1).</w:t>
      </w:r>
    </w:p>
    <w:p>
      <w:r>
        <w:rPr>
          <w:b/>
        </w:rPr>
        <w:t>E. 6.5.4</w:t>
      </w:r>
    </w:p>
    <w:p>
      <w:r>
        <w:t>Vorliegend befinden sich die vom Beschwerdeführer geschiedene Kindsmutter und die beiden gemeinsamen Söhne in einem hängigen Asyl- verfahren. Aufgrund der erfolgten Scheidung des Beschwerdeführers ist le- diglich das Elternverhältnis zu prüfen:</w:t>
      </w:r>
    </w:p>
    <w:p>
      <w:r>
        <w:rPr>
          <w:b/>
        </w:rPr>
        <w:t>E. 6.5.5</w:t>
      </w:r>
    </w:p>
    <w:p>
      <w:r>
        <w:t>Vorab ist diesbezüglich auf die zutreffenden und ausführlichen Aus- führungen der Vorinstanz zum Elternverhältnis zu verweisen (vgl. a.a.O. E. III Ziff. 1). In der Beschwerde setzt der Beschwerdeführer mit dem pau- schalen Hinweis, er wolle den Ausgang des Asylverfahrens seiner Ex-Ehe- frau und seiner Kinder abzuwarten, offenkundig nichts entgegen (vgl. a.a.O. S. 14). Aus den Akten erschliesst sich, dass wegen der massiven Drohungen des Beschwerdeführers gegenüber der Kindsmutter bereits die türkischen Ge- richte intervenieren mussten und er wegen Bedrohung zu einer (…) Be- währungsstrafe verurteilt wurde (vgl. act. 82). Ferner hat er in der Vergan- genheit anscheinend auch mit einer Kindesentführung gedroht. Seit (…) 2022 ist er von seiner damaligen Frau geschieden. Ihr wurde gerichtlich das alleinige Sorgerecht übertragen (vgl. act. 74). Weiter ist aus den Akten ersichtlich, dass der Beschwerdeführer in Vergangenheit – aufgrund seiner</w:t>
      </w:r>
    </w:p>
    <w:p>
      <w:r>
        <w:t>E-1397/2025 Seite 9 Tätigkeit als (…) und aufgrund häufiger Wohnortswechsel, unter anderem begründet durch Differenzen zu der Kindsmutter – über längere Zeiträume abwesend gewesen ist (vgl. act. 29, F10, F67-F68, F96-F97, F100, F103- F105). Aufgrund der Aktenlage ergibt sich, dass zwischen dem Beschwer- deführer und seinen Söhnen im heutigen Zeitpunkt keine nahe, echte und tatsächlich gelebte familiäre Beziehung besteht. Ohnehin wäre eine ange- messene Kontaktpflege, sofern eine solche im Lichte der angespannten familiären Vorumständen von diesen gewünscht ist auch durch Telefonate, Briefverkehr, Skype, begleitete Treffen im Ausland sowie durch die sozialen Medien möglich.</w:t>
      </w:r>
    </w:p>
    <w:p>
      <w:r>
        <w:rPr>
          <w:b/>
        </w:rPr>
        <w:t>E. 6.5.6</w:t>
      </w:r>
    </w:p>
    <w:p>
      <w:r>
        <w:t>Die Wegweisung wurde unter der Berücksichtigung des Aspekts der Familieneinheit daher von der Vorinstanz zurecht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w:t>
      </w:r>
    </w:p>
    <w:p>
      <w:r>
        <w:t>E-1397/2025 Seite 10 Art. 3 EMRK darf niemand der Folter oder unmenschlicher oder erniedri- gender Strafe oder Behandlung unterworfen werden.</w:t>
      </w:r>
    </w:p>
    <w:p>
      <w:r>
        <w:rPr>
          <w:b/>
        </w:rPr>
        <w:t>E. 7.2.4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 rer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 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Praxisgemäss ist in der Türkei nicht von einer Situation allgemeiner Gewalt oder von bürgerkriegsähnlichen Verhältnissen auszugehen (vgl. Referenzurteil BVGer E-4103/2024 vom 8. November 2024 E. 13 m.w.H.).</w:t>
      </w:r>
    </w:p>
    <w:p>
      <w:r>
        <w:t>E-1397/2025 Seite 11</w:t>
      </w:r>
    </w:p>
    <w:p>
      <w:r>
        <w:rPr>
          <w:b/>
        </w:rPr>
        <w:t>E. 7.3.3</w:t>
      </w:r>
    </w:p>
    <w:p>
      <w:r>
        <w:t>Der Beschwerdeführer stammt aus F._______ (Provinz G._______). Im Sinne des Referenzurteils des BVGer E-4103/2024 vom 8. November 2024 E. 13.4.8 ist die Zumutbarkeit von Wegweisungen in die Provinz Sirnak im Einzelfall individuell zu prüfen. In der angefochtenen Verfügung weist die Vorinstanz zutreffend darauf hin, dass sich der Beschwerdeführer – angesichts seiner früheren Aufenthalte in H._______ und I._______ – auch an einem anderen Ort in der Türkei niederlassen kann und ihm die Inanspruchnahme einer solchen innerstaatlichen Aufenthaltsalternative zu- zumuten ist.</w:t>
      </w:r>
    </w:p>
    <w:p>
      <w:r>
        <w:rPr>
          <w:b/>
        </w:rPr>
        <w:t>E. 7.3.4</w:t>
      </w:r>
    </w:p>
    <w:p>
      <w:r>
        <w:t>Es liegen keine Anhaltspunkte dafür vor, dass die Rückkehr des Be- schwerdeführers in individueller Hinsicht unzumutbar wäre. Diesbezüglich kann mangels substantiierter Beschwerdeausführungen auf die zutreffen- den Erwägungen der Vorinstanz verwiesen werden, denen sich das Ge- richt vollumfänglich anschliesst (vgl. a.a.O. E. III Ziff. 3).</w:t>
      </w:r>
    </w:p>
    <w:p>
      <w:r>
        <w:rPr>
          <w:b/>
        </w:rPr>
        <w:t>E. 7.3.5</w:t>
      </w:r>
    </w:p>
    <w:p>
      <w:r>
        <w:t>Schliesslich ist hinsichtlich dem in der Beschwerde angerufenen Kin- deswohl Folgendes festzustellen: Gemäss türkischem Scheidungsurteil wurde der Mutter das alleinige Sorgerecht über die beiden Söhne übertra- gen. Zwar erschliesst aus den Akten, dass sein Sohn B._______ bis Ende (…) 2024 mit dem Einverständnis der Kindsmutter zunächst beim Be- schwerdeführer lebte (vgl. act. 76-77). Indes leben heute beide Söhne seit- her bei der Kindsmutter respektive der Ex-Ehefrau des Beschwerdefüh- rers. Damit stellt die Kindsmutter heute ohne Zweifel die Hauptbezugsper- son der beiden Söhne dar. Aufgrund der Akten ist nicht ersichtlich, dass der Verbleib des Beschwerdeführers in der Schweiz für deren Wohlbefinden und Entwicklung unabdingbar ist. Im Übrigen können gewünschte Kontakte auch in angemessener Weise vom Ausland aus gepflegt werden (vgl. E. 6.5.5.).</w:t>
      </w:r>
    </w:p>
    <w:p>
      <w:r>
        <w:rPr>
          <w:b/>
        </w:rPr>
        <w:t>E. 7.3.6</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w:t>
      </w:r>
    </w:p>
    <w:p>
      <w:r>
        <w:t>E-1397/2025 Seite 12 vorläufigen Aufnahme fällt somit ausser Betracht (Art. 83 Abs. 1–4 AIG). Das diesbezügliche Begehren ist abzuweisen.</w:t>
      </w:r>
    </w:p>
    <w:p>
      <w:r>
        <w:rPr>
          <w:b/>
        </w:rPr>
        <w:t>E. 8</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 Nach dem Gesagten besteht kein Anlass zur Rückweisung an die Vorinstanz, zumal dieses Begehren nicht annähernd substantiiert be- gründet wurde.</w:t>
      </w:r>
    </w:p>
    <w:p>
      <w:r>
        <w:rPr>
          <w:b/>
        </w:rPr>
        <w:t>E. 9.1</w:t>
      </w:r>
    </w:p>
    <w:p>
      <w:r>
        <w:t>Der Beschwerdeführer ersuchte um Gewährung der unentgeltlichen Pro- zessführung. Aus den vorstehenden Erwägungen ergibt sich, dass sein Be- gehren aussichtslos war. Damit ist eine der kumulativ zu erfüllenden Vo- raussetzungen gemäss Art. 65 Abs. 1 VwVG nicht gegeben, weshalb das Gesuch unabhängig von der geltend gemachten Bedürftigkeit abzuweisen ist. Mit dem vorliegenden Direktentscheid wird das Gesuch um Verzicht auf das Erheben eines Kostenvorschusses gegenstandslos.</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E-1397/2025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