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E-1397/2019 vom 5. April 2019</w:t>
      </w:r>
    </w:p>
    <w:p>
      <w:r>
        <w:t>Bundesverwaltungsgericht, 2019-04-05, DE</w:t>
      </w:r>
    </w:p>
    <w:p>
      <w:r>
        <w:rPr>
          <w:b/>
        </w:rPr>
        <w:t xml:space="preserve">Quelle: </w:t>
      </w:r>
      <w:r>
        <w:t>https://mcp.opencaselaw.ch/entscheid/bvger_E-1397_2019</w:t>
      </w:r>
    </w:p>
    <w:p>
      <w:r>
        <w:t>FR: TAF E-1397/2019 du 5 avril 2019</w:t>
      </w:r>
    </w:p>
    <w:p>
      <w:r>
        <w:t>IT: TAF E-1397/2019 del 5 aprile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Eine Prüfung der Akten ergibt, dass die Vorinstanz das Bestehen der Flüchtlingseigenschaft zutreffend verneint und das Asylgesuch abgewiesen hat.</w:t>
      </w:r>
    </w:p>
    <w:p>
      <w:r>
        <w:rPr>
          <w:b/>
        </w:rPr>
        <w:t>E. 5.1</w:t>
      </w:r>
    </w:p>
    <w:p>
      <w:r>
        <w:t>Die Vorinstanz hat zunächst zu Recht festgehalten, dass die Vorbringen der Beschwerdeführerin nicht asylrelevant im Sinne von Art. 3 AsylG sind. Soweit die Beschwerdeführerin vorbringt, ausgereist zu sein, um eine Arbeitsstelle zu finden, beruft sie sich auf die allgemeine wirtschaftliche Situation in ihrem Heimatstaat. Die weiteren Umstände, sie habe in ihrem Heimatstaat keine Verwandten mehr und ihre Mutter würde in der Schweiz leben, stehen sodann in einem rein familiären Kontext und knüpfen nicht an ein flüchtlingsrechtlich relevantes Motiv im Sinne von Art. 3 AsylG (Rasse, Religion, Nationalität, Zugehörigkeit zu einer bestimmten sozialen Gruppe oder politische Anschauungen) an. Konkret gegen die Beschwerdeführerin gerichtete Verfolgungshandlungen von staatlicher Seite oder anderen Gruppierungen sind aus diesen Vorbringen nicht ersichtlich.</w:t>
      </w:r>
    </w:p>
    <w:p>
      <w:r>
        <w:rPr>
          <w:b/>
        </w:rPr>
        <w:t>E. 5.2</w:t>
      </w:r>
    </w:p>
    <w:p>
      <w:r>
        <w:t>Soweit in der Beschwerde vorgebracht wird, dass die Beschwerdeführerin als Prostituierte oder in einem ähnlichen Bereich hätte arbeiten müssen, bezieht sich dies im Übrigen auf einen Sachverhalt, der sich nicht in ihrem Heimatstaat, sondern in einem Drittland, vorliegend Italien, ereignet hat. Die Vorbringen der Beschwerdeführerin sind jedoch nur auf eine mögliche asylrelevante Verfolgung bezüglich ihres Heimatstaates Nigeria zu prüfen.</w:t>
      </w:r>
    </w:p>
    <w:p>
      <w:r>
        <w:rPr>
          <w:b/>
        </w:rPr>
        <w:t>E. 5.3</w:t>
      </w:r>
    </w:p>
    <w:p>
      <w:r>
        <w:t>Das SEM hat die Flüchtlingseigenschaft der Beschwerdeführerin demnach zu Recht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Vorinstanz hat in der Verfügung vom 19. Februar 2019 zu Recht festgehalten, dass die Beschwerdeführerin als Tochter von G._______, welche in der Schweiz wohnhaft ist und über eine Niederlassungsbewilligung verfügt, grundsätzlich Anspruch auf Erteilung einer Aufenthaltsbewilligung gemäss Art. 42 ff. AIG hat. Den Akten ist zu entnehmen, dass die Beschwerdeführerin am 30. Januar 2019, mithin zum Zeitpunkt ihrer Minderjährigkeit, ein entsprechendes Gesuch beim zuständigen Kanton eingereicht hat (vgl. act. A36/1). Der Entscheid über die konkrete Beurteilung des geltend gemachten Anspruchs nach Art. 43 AIG und damit auch der Entscheid über die Wegweisung und allfällige Wegweisungsvollzugshindernisgründe fällt damit in die Zuständigkeit der kantonalen Migrationsbehörden und ist, wie von der Vorinstanz korrekterweise festgehalten, nicht von den Asylbehörden zu prüfen.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Die in der Beschwerde gestellten Anträge, es sei der Beschwerde die aufschiebende Wirkung zu erteilen und es sei von allfälligen Vollzugsmassnahmen abzusehen, sind mit vorliegendem Urteil gegenstandslos geworden.</w:t>
      </w:r>
    </w:p>
    <w:p>
      <w:r>
        <w:rPr>
          <w:b/>
        </w:rPr>
        <w:t>E. 9</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