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E-1394/2019 vom 25. Februar 2020</w:t>
      </w:r>
    </w:p>
    <w:p>
      <w:r>
        <w:t>Bundesverwaltungsgericht, 2020-02-25, DE</w:t>
      </w:r>
    </w:p>
    <w:p>
      <w:r>
        <w:rPr>
          <w:b/>
        </w:rPr>
        <w:t xml:space="preserve">Quelle: </w:t>
      </w:r>
      <w:r>
        <w:t>https://mcp.opencaselaw.ch/entscheid/bvger_E-1394_2019</w:t>
      </w:r>
    </w:p>
    <w:p>
      <w:r>
        <w:t>FR: TAF E-1394/2019 du 25 février 2020</w:t>
      </w:r>
    </w:p>
    <w:p>
      <w:r>
        <w:t>IT: TAF E-1394/2019 del 25 febbraio 2020</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das Urteil nur summarisch zu begründen ist (Art. 111a Abs. 2 AsylG). Gestützt auf Art. 111a Abs. 1 AsylG wurde auf die Durchführung eines Schriftenwechsels verzichtet.</w:t>
      </w:r>
    </w:p>
    <w:p>
      <w:r>
        <w:rPr>
          <w:b/>
        </w:rPr>
        <w:t>E. 4</w:t>
      </w:r>
    </w:p>
    <w:p>
      <w:r>
        <w:t>Die Beschwerdeführenden fochten die vorinstanzliche Verfügung hinsichtlich der Dispositivziffern 1-3 (Flüchtlingseigenschaft, Asyl und Wegweisung) nicht an, weshalb diese in Rechtskraft erwachsen sind. Seitens der Beschwerdeführenden wird lediglich die Anordnung einer vorläufigen Aufnahme beantragt; dies weil ihrer Rechtsauffassung zufolge sich der Wegweisungsvollzug als unzulässig beziehungsweise unzumutbar erweise.</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5.2.1</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Dies gelingt ihnen nicht. Auch die allgemeine Menschenrechtssituation im Heimatstaat lässt den Wegweisungsvollzug zum heutigen Zeitpunkt nicht als unzulässig erscheinen.</w:t>
      </w:r>
    </w:p>
    <w:p>
      <w:r>
        <w:rPr>
          <w:b/>
        </w:rPr>
        <w:t>E. 5.2.2</w:t>
      </w:r>
    </w:p>
    <w:p>
      <w:r>
        <w:t>Auch der von den Beschwerdeführenden behauptete Vorfall, bei dem eine unbekannte Täterschaft in ihr Haus im Kosovo eingedrungen, dieses beschädigt und eine gegen sie gerichtete Drohung hinterlassen habe, vermag keine Unzulässigkeit des Wegweisungsvollzugs zu begründen. Unabhängig der Frage, ob sich der betreffende Vorfall effektiv in der behaupteten Weise zugetragen hat, wären die Beschwerdeführenden bei Konflikten mit Drittpersonen ohnehin gehalten, sich hierfür an die zuständigen Polizei- und Strafverfolgungsbehörden zu wenden. In diesem Zusammenhang ist bezüglich der Schutzfähigkeit und Schutzwilligkeit der kosovarischen Behörden auf die zutreffenden Ausführungen der Vorinstanz in der angefochtenen Verfügung (E. II) sowie auf die die Beschwerdeführenden betreffenden Urteile des Bundesverwaltungsgerichts E- 7293/2014 (dort E. 5.5.2 ff.) und E-4027/2018 (dort E. 7.2 f.) zu verweisen. Der Bundesrat hat Kosovo als verfolgungssicheren Staat im Sinne von Art. 6a Abs. 2 Bst. a AsylG bezeichnet, womit als Regelvermutung Schutz vor nichtstaatlicher Verfolgung gewährleistet ist. Die Sachverhaltsvorbringen der Beschwerdeführenden und die hierzu ins Recht gelegten Beweismittel sind offenkundig ungeeignet, diese Einschätzung umzustossen. Gemäss der zu den Akten gereichten und durch einen Rechtsanwalt bestätigten Erklärung der Schwester habe sich am Haus der Familie eine Drohung befunden und die Polizei habe zwar eine Tatortbesichtigung durchgeführt, ihr aber «nichts Schriftliches» herausgegeben. Diese Schilderungen der Vorgänge sind nicht nur gänzlich ungeeignet, die Schutzfähigkeit respektive Schutzwilligkeit der kosovarischen Behörden in irgendeiner Form auch nur annähernd in Frage zu stellen, sondern zeigen sogar ganz im Gegenteil selber auf, dass die zuständigen Polizeikräfte effektiv ausgerückt sind und sich vor Ort der Sache angenommen haben. Eine Botschaftsabklärung zu diesem behaupteten Vorfall ist nicht erforderlich und das entsprechende Begehren ist abzuweisen.</w:t>
      </w:r>
    </w:p>
    <w:p>
      <w:r>
        <w:rPr>
          <w:b/>
        </w:rPr>
        <w:t>E. 5.2.3</w:t>
      </w:r>
    </w:p>
    <w:p>
      <w:r>
        <w:t>Nach dem Gesagten ist der Vollzug der Wegweisung sowohl im Sinne der asyl- als auch der völkerrechtlichen Bestimmungen zulässig.</w:t>
      </w:r>
    </w:p>
    <w:p>
      <w:r>
        <w:rPr>
          <w:b/>
        </w:rPr>
        <w:t>E. 5.3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5.4.1</w:t>
      </w:r>
    </w:p>
    <w:p>
      <w:r>
        <w:t>Als sicherer Drittstaat gelte gemäss der Vorinstanz für Kosovo die Regelvermutung, dass die Rückkehr in der Regel zumutbar sei. Die Beschwerdeführenden gehörten der Minderheit der Bosniaken respektive der Gorani an und stammten aus dem Dorf F._______ in der Gemeinde H._______. Die Wahrscheinlichkeit einer konkreten Gefährdung im Sinne von Art. 83 Abs. 4 AIG könne für Angehörige der Bosniaken respektive der Gorani alleine aufgrund der Ethnie weitgehend ausgeschlossen werden. Ihre Bewegungsfreiheit im Kosovo sei grundsätzlich gegeben. Auch der Zugang zu den medizinischen und sozialen Strukturen sei in aller Regel gewährleistet. Die Regelvermutung gelte somit auch für Angehörige dieser Ethnie. Aus den Akten ergäben sich weder unter Berücksichtigung des Kindswohls noch anderer individueller Gründe, dass der Wegweisungsvollzug in den Kosovo unzumutbar wäre. Um Wiederholungen zu vermeiden verwies das SEM auf die bisherigen, die Beschwerdeführenden betreffenden Verfügungen des SEM sowie Urteile des Bundesverwaltungsgerichts. Seitens der Beschwerdeführenden werde denn auch nicht behauptet, dass sich ihre persönliche Situation zwischenzeitlich verändert habe. Es sei ihnen somit nicht gelungen, die Regelvermutung umzustossen.</w:t>
      </w:r>
    </w:p>
    <w:p>
      <w:r>
        <w:rPr>
          <w:b/>
        </w:rPr>
        <w:t>E. 5.4.2</w:t>
      </w:r>
    </w:p>
    <w:p>
      <w:r>
        <w:t>Zusätzlich zu den bereits angeführten Argumenten der Beschwerdeführenden, welche ihrer Ansicht nach gegen die Zumutbarkeit des Wegweisungsvollzugs sprächen, brachten sie vor, dass das Kindeswohl bei einer erzwungenen Rückkehr in den Kosovo tangiert sein könnte. Die psychische Situation der Beschwerdeführerin belaste die eheliche Beziehung und die Eltern fühlten sich psychisch nicht in der Lage, bei einer allfälligen Wegweisung die Kinder angemessen auf einen solchen Wechsel vorzubereiten und ihnen als Eltern eine Stütze zu sein. Deren Integration sei überdies zu berücksichtigen. Die Beschwerdeführerin befürchte zusätzlich, dass sie Depression und Verzweiflung heimsuchen würden und dass die Familie unter den starren, patriarchalischen, ausgrenzenden und stigmatisierenden kosovarischen Gesellschaftsregeln auseinanderbräche.</w:t>
      </w:r>
    </w:p>
    <w:p>
      <w:r>
        <w:rPr>
          <w:b/>
        </w:rPr>
        <w:t>E. 5.5.1</w:t>
      </w:r>
    </w:p>
    <w:p>
      <w:r>
        <w:t>Die allgemeine Lage im Kosovo als Safe Country ist offensichtlich nicht durch Krieg, Bürgerkrieg oder durch eine Situation allgemeiner Gewalt, aufgrund derer die Zivilbevölkerung als konkret gefährdet bezeichnet werden müsste, gekennzeichnet. Im Übrigen ist auf die nach wie vor zutreffenden Ausführungen im Urteil E-7289/2014 vom 18. März 2018 zu verweisen (vgl. a.a.O. E. 7.4.2 m.w.H.). Der Vollzug der Wegweisung ist unter diesen Umständen als grundsätzlich zumutbar zu bezeichnen.</w:t>
      </w:r>
    </w:p>
    <w:p>
      <w:r>
        <w:rPr>
          <w:b/>
        </w:rPr>
        <w:t>E. 5.5.2</w:t>
      </w:r>
    </w:p>
    <w:p>
      <w:r>
        <w:t>Vorliegend sprechen auch keine individuellen Gründe gegen die Zumutbarkeit des Wegweisungsvollzugs. Hinsichtlich dem - nicht explizit geltend gemachten - Aspekt der physischen und psychischen Gesundheit der Beschwerdeführerin ist festzustellen, dass dieser bereits in den erwähnten Urteilen E-7293/2014 (dort E. 7.4.4), E-5504/2016 (dort E. 7 f.) und E-4027/2018 (dort E. 7.4.2) ausführlich geprüft und für nicht vollzugshindernd befunden wurde. Die Beschwerdeführenden brachten diesbezüglich im vorliegenden Verfahren weder neue Elemente vor noch reichten sie einen Arztbericht ein. Aus den Akten geht auch nicht hervor, dass sich die Situation zwischenzeitlich verändert hätte. Zur Vermeidung von Wiederholungen ist deshalb auf die erwähnten Urteile zu verweisen. Im Weiteren ist mit aller Deutlichkeit darauf hinzuweisen, dass die Vollzugssituation bereits mehrfach sowohl durch die Vorinstanz wie auch durch das Bundesverwaltungsgericht beurteilt worden ist. Das letzte Mehrfachgesuch der Beschwerdeführenden vom 29. September 2018 wurde nur gerade 8 Wochen nach dem letzten Urteil des Bundesgerichts E-4027/2018 vom 27. Juli 2018 eingereicht. Die Frage der Zumutbarkeit des Wegweisungsvollzugs wie auch der Aspekt des Kindeswohls bildete bereits Gegenstand der Prüfung des Urteils E-4027/2018. Die Vollzugsspezifische Ausgangslage hat zwischenzeitlich keine Änderung erfahren, so dass an den gerichtlichen Erwägungen unverändert festzuhalten ist.</w:t>
      </w:r>
    </w:p>
    <w:p>
      <w:r>
        <w:rPr>
          <w:b/>
        </w:rPr>
        <w:t>E. 5.5.3</w:t>
      </w:r>
    </w:p>
    <w:p>
      <w:r>
        <w:t>Nach dem Gesagten erweist sich der Vollzug der Wegweisung auch als zumutbar.</w:t>
      </w:r>
    </w:p>
    <w:p>
      <w:r>
        <w:rPr>
          <w:b/>
        </w:rPr>
        <w:t>E. 5.6</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5.7</w:t>
      </w:r>
    </w:p>
    <w:p>
      <w:r>
        <w:t>Zusammenfassend hat die Vorinstanz den Wegweisungsvollzug zu Recht als zulässig, zumutbar und möglich bezeichnet. Eine Anordnung der vorläufigen Aufnahme fällt somit ausser Betracht (Art. 83 Abs. 1-4 AIG).</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Der in gleicher Höhe geleistete Kostenvorschuss ist zur Bezahlung der Verfahrenskosten zu verwenden.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