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E-1392/2020 vom 6. Februar 2020</w:t>
      </w:r>
    </w:p>
    <w:p>
      <w:r>
        <w:t>Bundesverwaltungsgericht, 2020-02-06, FR</w:t>
      </w:r>
    </w:p>
    <w:p>
      <w:r>
        <w:rPr>
          <w:b/>
        </w:rPr>
        <w:t xml:space="preserve">Quelle: </w:t>
      </w:r>
      <w:r>
        <w:t>https://mcp.opencaselaw.ch/entscheid/bvger_E-1392_2020_d20200206</w:t>
      </w:r>
    </w:p>
    <w:p>
      <w:r>
        <w:t>FR: TAF E-1392/2020 du 6 février 2020</w:t>
      </w:r>
    </w:p>
    <w:p>
      <w:r>
        <w:t>IT: TAF E-1392/2020 del 6 febbraio 2020</w:t>
      </w:r>
    </w:p>
    <w:p>
      <w:pPr>
        <w:pStyle w:val="Heading2"/>
      </w:pPr>
      <w:r>
        <w:t>Regeste</w:t>
      </w:r>
    </w:p>
    <w:p>
      <w:r>
        <w:t>Asile et renvoi | Asile et renvoi; décision du SEM du 6 février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al. 1, 52 al. 1 ainsi que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PA et anc. art. 108 al. 1 LAsi).</w:t>
      </w:r>
    </w:p>
    <w:p>
      <w:r>
        <w:t>E-1392/2020 Page 7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la crédibilité et le sérieux de ses motifs.</w:t>
      </w:r>
    </w:p>
    <w:p>
      <w:r>
        <w:rPr>
          <w:b/>
        </w:rPr>
        <w:t>E. 3.2</w:t>
      </w:r>
    </w:p>
    <w:p>
      <w:r>
        <w:t>Le Tribunal ne conteste pas la sincérité de l’attirance du recourant pour le christianisme, alors qu’il se trouvait encore en Iran, quand bien même il est singulier qu’il ne connaisse pas la fête de Pâques (cf. procès-verbal [p-v] de l’audition du 28 décembre 2017, question 90). En effet, une telle attitude relève d’un processus spirituel éminemment personnel, qui n’est pas forcément de nature à être décrit en termes rationnels ; dans cette mesure, les considérations du SEM sur l’invraisemblance de l’intérêt du recourant pour le christianisme et son manque de connaissances sur cette religion (cf. la décision attaquée, p. 3 et 4) ne sont pas décisives. A cela s’ajoute qu’il n’avait alors pas forcément accès aux textes de référence sur la doctrine et la théologie chrétiennes. Enfin, par baptême, il s’est converti au catholicisme après son arrivée en Suisse, ce qui tend à confirmer la sincérité de son adhésion à cette religion. De même, les contradictions relevées par le SEM, relatives aux circonstances de l’adhésion du recourant à un groupe d’étude chrétien ou</w:t>
      </w:r>
    </w:p>
    <w:p>
      <w:r>
        <w:t>E-1392/2020 Page 8 aux modalités de sa fuite, sont de peu d’ampleur et n’ont pas de portée déterminante. Le fait qu’il a détruit son passeport à l’arrivée est cependant de nature à jeter le doute sur la réalité des conditions de son voyage et dès lors d’un départ motivé par une crainte pressante d’être arrêté ; en effet, il ne peut être exclu que cette attitude, malaisément explicable, réponde au souci de dissimuler les véritables circonstances du départ et du trajet.</w:t>
      </w:r>
    </w:p>
    <w:p>
      <w:r>
        <w:rPr>
          <w:b/>
        </w:rPr>
        <w:t>E. 3.3</w:t>
      </w:r>
    </w:p>
    <w:p>
      <w:r>
        <w:t>Cela étant, il convient de rappeler que le christianisme est une religion minoritaire officiellement reconnue en Iran et que sa pratique discrète et en privé y est tolérée. Les convertis ne connaissent pas de persécutions systématiques, mais peuvent subir diverses tracasseries, telles que des contrôles à l'entrée des églises et des interpellations, sans qu'il y ait cependant d'emprisonnements de longue durée ou de condamnations lourdes. Certes, selon le droit islamique (charia) appliqué en Iran, l'abandon de l'islam pour une autre religion est considéré comme un blasphème et passible de la peine de mort ; en pratique cette règle n’est toutefois pas appliquée. Cela étant, lorsque l’apostat a des proches adeptes d'une forme fanatique et extrémiste de l'islam dans son entourage familial, il faut encore tenir compte du fait qu’il encourrait le risque d’être dénoncé aux services de sécurité iraniens pour haute trahison ou d’être la cible d’attaques de ces proches, sans pouvoir compter sur la protection des autorités (cf. ATAF 2009/28 consid. 7, spéc. consid. 7.3.2.1 et 7.3.3 à 7.3.5). En résumé, seules les personnes exerçant une activité importante au sein de leur Eglise ou qui se livrent au prosélytisme font face à un risque accru de persécution. En revanche, les chrétiens qui se contentent d’exercer leur foi en Iran de manière discrète et paisible ne font pas l’objet de persécutions déterminantes au sens de l’art. 3 LAsi (cf. ATAF 2009/28 consid. 7.3.3 et 7.3.4 ; arrêts du Tribunal E-4227/2019 consid. 3.3.5 du 28 avril 2021 et réf. cit. ; E-815/2019 du 19 octobre 2021 consid. 5.2). Les rapports cités dans le recours, tels que celui du Département d’Etat américain sur la situation des droits de l’homme de 2017, d’organisations non gouvernementales comme l’organisation suisse d’aide aux réfugiés (OSAR) du 7 juin 2018, « Article 18 », « International Christian Concern » ou d’autres organisations chrétiennes, qui décrivent la situation des chrétiens en Iran de manière très générale, ne sont pas de nature à remettre ce constat en cause.</w:t>
      </w:r>
    </w:p>
    <w:p>
      <w:r>
        <w:t>E-1392/2020 Page 9 En principe, la seule conversion d’un ressortissant iranien n’entraîne dès lors pas un risque de persécutions étatiques, s’il ne manifeste pas d’hostilité au pouvoir en place et ne s’adonne pas à une activité missionnaire.</w:t>
      </w:r>
    </w:p>
    <w:p>
      <w:r>
        <w:rPr>
          <w:b/>
        </w:rPr>
        <w:t>E. 3.4</w:t>
      </w:r>
    </w:p>
    <w:p>
      <w:r>
        <w:t>En l’espèce, rien ne permet de retenir que la conversion du recourant ait été connue avant son départ d’Iran. La police aurait certes interpellé son beau-frère ainsi que les membres de son groupe. De même, l’intéressé, sa femme et sa belle-mère, qui étaient ses proches parents, auraient été soupçonnés de complicité. Par ailleurs, le domicile d’E._______, qu’il partageait avec sa mère, aurait été fouillé et l’épouse du recourant interrogée. Enfin, des policiers en civil auraient par la suite perquisitionné le logement de l’intéressé et saisi son ordinateur. Cela étant, le recourant admet que les policiers n’auraient trouvé chez lui aucun document compromettant, pas plus que sa bible, et que son ordinateur ne contenait rien de subversif ; en conséquence, il reconnaît que les autorités n’avaient aucune preuve contre lui (cf. p-v de l’audition du 28 décembre 2017, questions 50 et 98 à 100). Il n’est dès lors pas vraisemblable que la police se soit intéressée à lui dans les semaines qui ont suivi et ait continué à le considérer comme suspect. La manière d’agir des agents, telle que la décrit l’intéressé, plaide dans le même sens : en effet, il n’est pas crédible qu’ils aient recouru à des mesures d’intimidation, brisant des vitres du logement ou déposant sous sa porte un billet menaçant (cf. p-v de l’audition du 28 décembre 2017, questions 50 et 101 à 104), alors que rien ne les empêchait d’arrêter le recourant, s’ils en avaient le dessein.</w:t>
      </w:r>
    </w:p>
    <w:p>
      <w:r>
        <w:rPr>
          <w:b/>
        </w:rPr>
        <w:t>E. 3.5</w:t>
      </w:r>
    </w:p>
    <w:p>
      <w:r>
        <w:t>Il n’apparaît pas non plus vraisemblable que le recourant court le risque d’être dénoncé aux autorités par ses proches. En effet, il n’a jamais prétendu que ses parents ou ses frères et sœurs étaient des musulmans extrémistes, prêts à le dénoncer, même si, à l’en croire, ses parents sont hostiles à sa conversion (cf. acte de recours p. 17). Il a du reste déclaré ignorer s’ils ont eu eux-mêmes des problèmes avec les autorités à cause de sa fuite (cf. p-v de l’audition du 28 décembre 2017, question 117). Quant à l’oncle de l’épouse, rien n’indique qu’il soit informé des raisons qui auraient amené le recourant à quitter l’Iran. En outre, quand bien même cela serait le cas, il n’est en rien attesté qu’il soit en mesure de nuire à ce dernier : en effet, l’arrêt rejetant le recours de L. _______ fait état d’une</w:t>
      </w:r>
    </w:p>
    <w:p>
      <w:r>
        <w:t>E-1392/2020 Page 10 enquête menée par voie diplomatique qui n’a pas permis d’établir que cet oncle, du nom de O. _______, occupait une fonction importante ou était un homme disposant d’une notoriété publique ou un haut gradé des Pasdarans (cf. arrêt E-4227/2019 du 28 avril 2021 consid. 3.3.4). L’intéressé ne peut davantage exciper de l’asile accordé à son ex belle- sœur, K. _______, ses motifs se trouvant sans rapport avec les siens propres.</w:t>
      </w:r>
    </w:p>
    <w:p>
      <w:r>
        <w:rPr>
          <w:b/>
        </w:rPr>
        <w:t>E. 3.6</w:t>
      </w:r>
    </w:p>
    <w:p>
      <w:r>
        <w:t>Par ailleurs, rien ne permet d’admettre que l’unique et très court message laissé par son ex-épouse sur M. _______ en date du (…) février 2018, accompagné de plusieurs photographies, soit de nature à le mettre en danger. En effet, les deux rapports de l’autorité d’asile canadienne cités par le recourant, référencés dans un rapport de l’Organisation suisse d’aide aux réfugiés (OSAR, Iran : Risiken in Zusammenhang mit der Veröffentlichung von « kritischen » Informationen in sozialen Netzwerken, 25 avril 2019, p. 12 et 17 à 20), ne permettent pas de retenir l’existence d’un risque de persécution dans le cas présent. Ils précisent que le ressortissant iranien qui annonce sa conversion sur M. _______ à l’étranger peut éventuellement être surveillé après son retour en Iran ; il ne risque cependant pas une persécution, à moins d’entretenir des activités prosélytes, d’être perçu comme représentant un risque pour la sécurité de l’Etat ou d’avoir des antécédents d’opposant. Les autorités iraniennes observent certes les activités de leurs ressortissants sur les réseaux sociaux ; elles n’ont cependant pas la capacité de surveiller toutes leurs contributions et doivent se concentrer sur les personnes qu’elles perçoivent comme activement hostiles au régime. Il n’est ainsi pas crédible que le recourant, qui n’a pas d’antécédents d’opposant actif, n’entretient aucun engagement politique et ne se livre pas au prosélytisme, soit plus particulièrement exposé. Dès lors, dans l’éventualité improbable où l’oncle de sa femme aurait eu connaissance du message M. _______ en cause, ce point n’a pas d’incidence ; en effet, comme il a été constaté, il n’est en rien établi que cet homme détienne une position influente dans la milice des Gardiens de la révolution et ait la capacité de nuire au recourant.</w:t>
      </w:r>
    </w:p>
    <w:p>
      <w:r>
        <w:t>E-1392/2020 Page 11 Enfin, bien que ce message n’ait pas été traduit, l’intéressé précise dans son recours (cf. p. 10) que c’est « par méconnaissance ou imprudence » que son ex-épouse n’en a pas limité l’accès ; il apparaît ainsi qu’elle n’était animée d’aucune intention malveillante.</w:t>
      </w:r>
    </w:p>
    <w:p>
      <w:r>
        <w:rPr>
          <w:b/>
        </w:rPr>
        <w:t>E. 3.7</w:t>
      </w:r>
    </w:p>
    <w:p>
      <w:r>
        <w:t>Le recourant a également fait valoir ses activités religieuses postérieures à son arrivée en Suisse.</w:t>
      </w:r>
    </w:p>
    <w:p>
      <w:r>
        <w:rPr>
          <w:b/>
        </w:rPr>
        <w:t>E. 3.7.1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L’asile n’est pas accordé à la personne qui n’est devenue un réfugié au sens de l’art. 3 LAsi qu’en quittant son Etat d’origine ou de provenance ou en raison de son comportement ultérieur (art. 54 LAsi). En ce qui concerne la conversion au christianisme d’un ressortissant iranien, impliquant une pratique religieuse, il faut en particulier examiner, dans la mesure du possible, si le requérant a rendu vraisemblable, au sens de l'art. 7 LAsi, que ses activités sont arrivées à la connaissance des autorités de son pays d'origine et qu'elles entraîneraient son exposition à de sérieux préjudices au sens de l'art. 3 LAsi, dans le cas d’un retour (cf. ATAF 2010/44 consid. 3.5 et réf. cit. ; 2009/29 consid. 5.1 ; 2009/28 consid. 7.1 ; réf. cit. sous consid. 3.3). Lors de conversions à l'étranger, l'examen du cas d'espèce doit tenir compte du degré de notoriété dont jouit la personne considérée ; de plus, si des membres de sa famille sont susceptibles d’user de représailles contre lui, il s’agit également d’un facteur à prendre en considération, ainsi qu’il a déjà été indiqué (cf. consid. 3.3).</w:t>
      </w:r>
    </w:p>
    <w:p>
      <w:r>
        <w:rPr>
          <w:b/>
        </w:rPr>
        <w:t>E. 3.7.2</w:t>
      </w:r>
    </w:p>
    <w:p>
      <w:r>
        <w:t>En l’occurrence, le recourant s’est certes converti au christianisme après le dépôt de sa demande et a été baptisé ; toutefois, il ne s’agit pas là d’un facteur de risque décisif, ainsi qu’il a été rappelé. En outre, le fait qu’il a participé à l’organisation de repas collectifs, une fois par mois, au sein de la paroisse de N. _______ (cf. la réplique du</w:t>
      </w:r>
    </w:p>
    <w:p>
      <w:r>
        <w:rPr>
          <w:b/>
        </w:rPr>
        <w:t>E. 3.7.3</w:t>
      </w:r>
    </w:p>
    <w:p>
      <w:r>
        <w:t>Enfin, rien ne permet de retenir que le recourant serait contraint, à son retour, de modifier de manière inacceptable son comportement social en vue de cacher ses croyances ; en effet, comme déjà spécifié, une pratique discrète et paisible du christianisme n’est pas de nature à le mettre en danger (cf. consid. 3.3). L’arrêt de la CourEDH A.A. c. Suisse du</w:t>
      </w:r>
    </w:p>
    <w:p>
      <w:r>
        <w:rPr>
          <w:b/>
        </w:rPr>
        <w:t>E. 3.8</w:t>
      </w:r>
    </w:p>
    <w:p>
      <w:r>
        <w:t>Il s'ensuit que le recours doit être rejeté, en tant qu'il conteste la non- reconnaissance de la qualité de réfugié et le refus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décembre 2020), ne peut être tenu pour une activité prosélyte de nature à l’exposer aux mesures des autorités iraniennes, à supposer qu’elles en aient connaissance ; l’intéressé ne prétend d’ailleurs pas en avoir fait état publiquement ou donné une publicité particulière à son engagement.</w:t>
      </w:r>
    </w:p>
    <w:p>
      <w:r>
        <w:t>E-1392/2020 Page 12</w:t>
      </w:r>
    </w:p>
    <w:p>
      <w:r>
        <w:rPr>
          <w:b/>
        </w:rPr>
        <w:t>E. 5</w:t>
      </w:r>
    </w:p>
    <w:p>
      <w:r>
        <w:t>novembre 2019 ne se réfère qu’à l’Afghanistan et ne peut être extrapolé à tout pays musulman (cf. ch. 48 ss). Sa situation ne s’apparenterait dès lors pas à celle d’une victime de pressions psychiques insupportables, ainsi qu’il l’allègue ; il n’est pas vraisemblable qu’il serait visé par des mesures systématiques atteignant une intensité et un degré tels qu'elles rendraient impossible, ou difficilement supportable, la poursuite de la vie ou d'une existence conforme à la dignité humaine, de telle sorte que n'importe quelle personne confrontée à une situation analogue aurait été contrainte de fuir le pays (cf. ATAF 2010/28 consid. 3.3.1.1 et réf. cit.).</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E-1392/2020 Page 13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E-1392/2020 Page 14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motifs examinés (cf. consid. 3), le Tribunal constate que l’intéressé n’a pas établi la haute probabilité d’un risque de cette nature ; l’exécution du renvoi n’est ainsi pas contraire aux art. 3 CEDH et 3 Conv. torture.</w:t>
      </w:r>
    </w:p>
    <w:p>
      <w:r>
        <w:rPr>
          <w:b/>
        </w:rPr>
        <w:t>E. 6.6</w:t>
      </w:r>
    </w:p>
    <w:p>
      <w:r>
        <w:t>Il n’apparaît pas non plus qu’elle soit contraire à l’art. 8 CEDH ou à l’art. 3 de la Convention relative aux droits de l’enfant (CDE, RS 0.107), dans la mesure où elle séparerait l’intéressé de ses enfants. En effet, dans le cadre de la présente procédure, le Tribunal n’est pas saisi du cas de ces derniers, sur lequel il sera statué avec celui de leur mère ; la CDE, dont l’objet est la protection des enfants et de leurs droits (y inclus l’art. 9 CDE), non celle de leurs parents, est ainsi inapplicable dans la présente cause. Il en va de même de l’art. 8 CEDH ; le Tribunal relève toutefois que cette disposition suppose l’existence d’une vie commune qui a disparu aujourd’hui, du fait de la séparation des époux il y a déjà trois ans, puis du divorce prononcé et de l’attribution à la mère de l’autorité parentale (cf. arrêt E-1632/2018 du 19 août 2021 consid. 6.6.1).</w:t>
      </w:r>
    </w:p>
    <w:p>
      <w:r>
        <w:rPr>
          <w:b/>
        </w:rPr>
        <w:t>E. 6.7</w:t>
      </w:r>
    </w:p>
    <w:p>
      <w:r>
        <w:t>Dès lors, l'exécution du renvoi du recourant sous forme de refoulement ne transgresse aucun engagement de la Suisse relevant du droit international, de sorte qu'elle s'avère licite (art. 44 LAsi et 83 al. 3 LEI).</w:t>
      </w:r>
    </w:p>
    <w:p>
      <w:r>
        <w:t>E-1392/2020 Page 15</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 A cet égard, le Tribunal constate qu’il se trouve au bénéfice d'une longue expérience professionnelle et n'a pas allégué de problème de santé particulier. Dans cette mesure, l’existence d’un réseau familial, dont l’intéressé prétend ne plus disposer, n’a pas d’incidence particulière.</w:t>
      </w:r>
    </w:p>
    <w:p>
      <w:r>
        <w:rPr>
          <w:b/>
        </w:rPr>
        <w:t>E. 7.4</w:t>
      </w:r>
    </w:p>
    <w:p>
      <w:r>
        <w:t>Pour ces motifs, l'exécution du renvoi doit être considérée comme raisonnablement exigible.</w:t>
      </w:r>
    </w:p>
    <w:p>
      <w:r>
        <w:rPr>
          <w:b/>
        </w:rPr>
        <w:t>E. 8</w:t>
      </w:r>
    </w:p>
    <w:p>
      <w:r>
        <w:t>Par ailleurs,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Enfin, la situation actuelle liée à la propagation du Covid-19 dans le monde ne justifie pas de surseoir au présent prononcé.</w:t>
      </w:r>
    </w:p>
    <w:p>
      <w:r>
        <w:t>E-1392/2020 Page 16</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ayant été accordée, il n'y a pas lieu de percevoir de frais (art. 65 al. 1 PA), ce d’autant moins qu’il ne ressort pas du dossier que la situation financière du recourant ait changé d’une manière déterminante depuis lors.</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11.3</w:t>
      </w:r>
    </w:p>
    <w:p>
      <w:r>
        <w:t>Dans le cas d’espèce, le Tribunal estime le temps de travail nécessité par la procédure de recours (rédaction d’un acte de recours de 19 pages, d’une courte lettre et d’une réplique de deux pages) à huit heures. L’indemnité est ainsi arrêtée à 1’200 francs, au tarif horaire de 150 francs.</w:t>
      </w:r>
    </w:p>
    <w:p>
      <w:r>
        <w:t>(dispositif : page suivante)</w:t>
      </w:r>
    </w:p>
    <w:p>
      <w:r>
        <w:t>E-1392/2020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