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E-1392/2015 vom 9. März 2015</w:t>
      </w:r>
    </w:p>
    <w:p>
      <w:r>
        <w:t>Bundesverwaltungsgericht, 2015-03-09, DE</w:t>
      </w:r>
    </w:p>
    <w:p>
      <w:r>
        <w:rPr>
          <w:b/>
        </w:rPr>
        <w:t xml:space="preserve">Quelle: </w:t>
      </w:r>
      <w:r>
        <w:t>https://mcp.opencaselaw.ch/entscheid/bvger_E-1392_2015</w:t>
      </w:r>
    </w:p>
    <w:p>
      <w:r>
        <w:t>FR: TAF E-1392/2015 du 9 mars 2015</w:t>
      </w:r>
    </w:p>
    <w:p>
      <w:r>
        <w:t>IT: TAF E-1392/2015 del 9 marzo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formgenügend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begründet und ist im Verfahren einzelrichterlicher Zuständigkeit mit Zustimmung eines zweiten Richters (Art. 111 Bst. e AsylG) ohne Weiterungen und mit summarischer Begründung zu behandeln (Art. 111a Abs. 1 und 2 AsylG). 2.1 Gemäss Art. 31a Abs. 1 Bst. b AsylG tritt das SEM auf ein Asylgesuch in der Regel nicht ein, wenn Asylsuchende in einen Drittstaat ausreisen können, welcher für die Durchführung des Asyl- und Wegweisungsverfahrens staatsvertraglich zuständig ist. 2.2 Beim Aufnahmeverfahren (take charge - wie vorliegend)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Wiederaufnahmeverfahren (take back), bei dem keine - neuerliche -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Mithin ist vorliegend - Minderjährigkeit ist kein Thema - zuerst derjenige Mitgliedstaat zuständig, der im Zeitpunkt des ersten Gesuchs auf internationalen Schutz einem Familienangehörigen der Beschwerdeführerin das Recht auf Aufenthalt in seiner Eigenschaft als Begünstigter internationalen Schutzes gewährt hat, sofern die betroffenen Personen dies schriftlich wünschen (Art. 9 Dublin-III-VO). In zweiter Linie wäre dann jeder Antrag von einem einzigen Mitgliedstaat zu prüfen, der nach den Kriterien des Kapitels II als zuständiger Staat bestimmt wird (Art. 3 Abs. 1, Satz 2). Nach Art. 18 Abs. 1 Bst. d Dublin-III-VO ist der zuständige Mitgliedstaat verpflichtet, einen Antragsteller, dessen Antrag abgelehnt wurde und der in einem anderen Mitgliedstaat einen Antrag gestellt hat, nach Massgabe von Art. 21 bis 25 und 29 wieder aufzunehmen. Wird auf der Grundlage von Beweismitteln oder Indizien gemäss Art. 22 Abs. 3 der Dublin-III-VO genannten Verzeichnissen (...) klar, dass ein Antragsteller aus einem Drittstaat (in casu Libyen) herkommend die Land-, See- oder Luftgrenze zum Mitgliedstaat (in casu Italien) illegal überquert hat, ist dieser Mitgliedstaat für die Prüfung des Antrags auf internationalen Schutz zuständig, wobei zu beachten gilt, dass eine solche Zuständigkeit zwölf Monate nach dem Zeitpunkt des illegalen Grenzübertritts endet (vgl. dazu Art. 13 Abs. 1 Dublin-III-VO).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 Weitere Einzelheiten hierzu lassen sich den übrigen Verordnungsbestimmungen entnehmen. 2.3 Die Vorinstanz führte in der Begründung ihres Nichteintretensentscheides aus, dass die Zuständigkeit zur Durchführung des Asyl- und Wegweisungsverfahrens an Italien übergegangen sei. Aus dem Umstand, dass die Beschwerdeführerin zu Protokoll gegeben habe, im November 2014 illegal ins Hoheitgebiet der Dublin-Staaten (in casu Italien) eingereist zu sein, sei auf ihr Asylgesuch nicht einzutreten, weil sie in diesen Drittstaat ausreisen könne, der für die Durchführung des Asyl- und Wegweisungsverfahrens gestützt auf Art. 13 Abs. 1 Dublin-III-VO i.V.m. Art. 22 Abs. 7 Dublin-III-VO zuständig sei (Art. 31a Abs. 1 Bst. b AsylG). Es würden keine konkreten Anhaltspunkte dafür vorliegen, dass Italien sich nicht an seine völkerrechtlichen Verpflichtungen halten und das Asyl- und Wegweisungsverfahren nicht korrekt durchführen werde. Die Beschwerdeführerin führte in ihrer Rechtsschrift mehrere Gründe an, weshalb sie nicht nach Italien zurückkehren könne. So habe sie in Italien kein Asylgesuch gestellt, sich dort nicht registrieren lassen, und sie habe als afrikanische Frau keinen Schutz vorgefunden. Sie sei angewiesen worden, Italien zu verlassen. Seit ihrer Meerüberquerung bis zum Eintreffen in der Schweiz sei sie in Gewahrsam von Schleppern gewesen. In der Schweiz müsse sie sich ihren Fuss operieren lassen. Bei einer Rückkehr nach Italien fände sie keine Bleibe und keinen Schutz vor. Sie bevorzuge die Rückführung nach Somalia statt nach Italien. Aufgrund des erstmaligen Aufenthalts der Beschwerdeführerin im sog. Schengen-Raum in Italien im November 2014 hat die Vorinstanz am 17. Dezember 2014 die italienischen Behörden u.a. gestützt auf (Art. 9 und) Art. 13 Abs. 1 Dublin-III-VO zu Recht um Rücknahme der Beschwerdeführerin ersucht. Mit der Nichtbeantwortung des Übernahmeersuchens innert der in Art. 22 Abs. 1 Dublin-III-VO vorgesehenen Frist (sog. Verfristung) haben sie die Zuständigkeit Italiens implizit anerkannt (Art. 22 Abs. 7 Dublin-III-VO). Damit ist die grundsätzliche Zuständigkeit Italiens für die Durchführung des Asyl- und Wegweisungsverfahrens gegeben. Die im vorstehenden Absatz erwähnten Gründe der Beschwerdeführerin vermögen an der grundsätzlichen Zuständigkeit Italiens für die Behandlung ihres Asylgesuchs nichts zu ändern. 3.1 Die Beschwerdeführerin ersucht sinngemäss um Anwendung der Ermessensklausel von Art. 17 Abs. 1 Dublin-III-VO, was zum Selbsteintritt der Schweiz und zur materiellen Beurteilung ihres Antrags auf internationalen Schutz durch dieses Land führe. Sie machte hierzu die in E. 2.3 (2. Absatz) erwähnten Gründe geltend. 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ins nationale Recht aufgenommene Norm Art. 29a Abs. 3 der Asylverordnung 1 vom 1. Februar 2014 über Verfahrensfragen (AsylV 1, SR 142.311) sieht vor, dass das SEM aus humanitären Gründen ein Gesuch behandeln kann, auch wenn nach den Kriterien der Dublin-VO ein anderer Staat zuständig wäre. Es handelt sich dabei um eine Kann-Be­stimmung, die den Behörden einen gewissen Ermessensspielraum lässt und restriktiv auszulegen ist (BVGE 2010/45 E. 8.2.2 und BVGE 2011/9 E. 8.1 f.). Mithin ist zu prüfen, ob die Beschwerdeführerin im Falle ihrer Überstellung nach Italien Gefahr laufen würde, wegen der dortigen Gegebenheiten des Asylverfahrens und der Aufnahmebedingungen in Schwierigkeiten zu geraten respektive eine Verletzung ihrer Grundrechte zu erleiden. Es obliegt ihr dabei, dem Gericht darzulegen, gestützt auf welche ernsthaften konkreten Hinweise anzunehmen sei, die italienischen Behörden würden in ihrem Fall ihre staatsvertraglichen Verpflichtungen nicht respektieren und ihr den notwendigen Schutz verweigern. Da die Beschwerdeführerin in der Rechtsmitteleingabe ausser pauschalen Behauptungen nichts vorgebracht hat, vermögen ihre Ausführungen nicht zu überzeugen. So behauptet sie, in Italien als afrikanische Frau ohne Dach über dem Kopf und ohne Schutz zu sein, nie registriert worden zu sein und stets in Gewahrsam der Schlepper gewesen zu sein. Zudem macht sie geltend, sich in der Schweiz am Fuss operieren lassen zu müssen. Hierzu ist zunächst festzustellen, dass die Unterbringung von Asylsuchenden in Italien den Minimalstandards des internationalen Rechts genügt und prinzipiell kein Grund zur Annahme besteht, die Beschwerdeführerin werde wegen ungenügender Aufenthaltsbedingungen in Italien oder wegen einer mangelnden medizinischen Versorgung in existenzielle Schwierigkeiten geraten. Weiter gilt gemäss Praxis des Bundesverwaltungsgerichts die Vermutung, dass Italien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diese allenfalls riskiert, Folter oder unmenschlicher Behandlung im Sinne von Art. 3 EMRK ausgesetzt zu werden, schützen. Bei einer Überstellung wird davon ausgegangen, Italien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des Selbsteintrittsrechts, sondern es bedarf hierzu grundsätzlich des Nachweises eines "real risk" im Sinne der EGMR-Rechtsprechung (vgl. Christian Filzwieser/Andrea Sprung, Dublin II-Verordnung, 3., überarb. Aufl., Wien/Graz 2010, Art. 3 K11 S. 75), den die Beschwerdeführerin in keiner Weise erbracht hat. Es ist somit davon auszugehen, dass ihr bei einer Überstellung nach Italien der Zugang zu einem fairen Asylverfahren möglich sein wird und sie weder unmenschlicher Behandlung ausgesetzt noch durch die italienischen Behörden ohne Prüfung ihrer Asylgründe und unter Missachtung des flüchtlings- oder menschenrechtlichen Non-Refoulement-Gebotes in den Heimat- oder Herkunftsstaat zurückgeschafft würde. Auch kann nicht erkannt werden, dass Italien in völkerrechtswidriger Weise gegen die Aufnahmerichtlinie verstösst. Der EGMR hat diesbezüglich festgehalten,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et al.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gewisse Verbesserungen festzustellen. Der Gerichtshof kam zum Schluss, dass die asylsuchende Person - es handelte sich um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 neuere Rechtsprechung hat daran nichts geändert. Aus diesen Feststellungen geht hervor, dass Rückkehrende, die noch nicht in einer entsprechenden Einrichtung aufgenommen wurden, eine Bleibe haben, weil sie in einem Aufnahmezentrum untergebracht werden können. Überdies stünde es der Beschwerdeführerin offen, allfällige Probleme bei der Unterbringung, bei der Aufnahme einer legalen Erwerbstätigkeit, bei der medizinischen Versorgung oder beim Zugang zum Asylverfahren bei den zuständigen italienischen Stellen oder Justizbehörden zu rügen. Im vorliegenden Fall sind somit keine konkreten Anhaltspunkte ersichtlich, die darauf hindeuteten, dass sie als afrikanische Frau im Falle einer Rückkehr nach Italien aus individuellen Gründen in eine existenzielle Notlage geraten könnte. Ausserdem hält sich ihr Ehemann dort schon seit Jahren legal auf und kann sie erneut unterstützen. Aus den Akten geht zudem hervor, dass sie sich in physischer Hinsicht für gesund hält (Vorakten A4 S. 9). Das von ihr anlässlich der Beschwerde geltend gemachte gesundheitliche Problem am Fuss hat sie mit keinem ärztlichen Attest belegt. Ein solches Problem wäre zudem kein Vollzugshindernis in Bezug auf eine Rückführung nach Italien. Weiter liegen keine Hinweise schwerer Beeinträchtigungen psychischer oder physischer Art vor, welche eine besondere Verletzlichkeit oder einen besonderen Bedarf an ausserordentlichen medizinischen Versorgungsleistungen begründen könnten. Zusammenfassend besteht kein konkretes und ernsthaftes Risiko, dass die Überstellung der Beschwerdeführerin nach Italien gegen völkerrechtliche Verpflichtungen der Schweiz oder Landesrecht verstossen würde. Damit besteht keine Verpflichtung der Schweiz zum Selbsteintritt. Italien ist für die Übernahme der Beschwerdeführerin und die Durchführung des Asyl- und Wegweisungsverfahrens zuständig.</w:t>
      </w:r>
    </w:p>
    <w:p>
      <w:r>
        <w:rPr>
          <w:b/>
        </w:rPr>
        <w:t>E. 4</w:t>
      </w:r>
    </w:p>
    <w:p>
      <w:r>
        <w:t>Das SEM ist demnach zu Recht in Anwendung von Art. 31a Abs. 1 Bst. b AsylG auf das Asylgesuch nicht eingetreten. Es hat, da die Beschwerdeführerin nicht im Besitz einer gültigen Aufenthalts- oder Niederlassungsbewilligung ist, in Anwendung von Art. 44 AsylG zutreffend die Überstellung nach Italien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5</w:t>
      </w:r>
    </w:p>
    <w:p>
      <w:r>
        <w:t>Nach dem Gesagten ist die Beschwerde abzuweisen.</w:t>
      </w:r>
    </w:p>
    <w:p>
      <w:r>
        <w:rPr>
          <w:b/>
        </w:rPr>
        <w:t>E. 6</w:t>
      </w:r>
    </w:p>
    <w:p>
      <w:r>
        <w:t>Bei diesem Verfahrensausgang sind die Kosten von Fr. 600.- der Beschwerdeführerin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