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E-1390/2024 vom 1. September 2025</w:t>
      </w:r>
    </w:p>
    <w:p>
      <w:r>
        <w:t>Bundesverwaltungsgericht, 2025-09-01, FR</w:t>
      </w:r>
    </w:p>
    <w:p>
      <w:r>
        <w:rPr>
          <w:b/>
        </w:rPr>
        <w:t xml:space="preserve">Quelle: </w:t>
      </w:r>
      <w:r>
        <w:t>https://mcp.opencaselaw.ch/entscheid/bvger_E-1390_2024</w:t>
      </w:r>
    </w:p>
    <w:p>
      <w:r>
        <w:t>FR: TAF E-1390/2024 du 1 septembre 2025</w:t>
      </w:r>
    </w:p>
    <w:p>
      <w:r>
        <w:t>IT: TAF E-1390/2024 del 1 settembre 2025</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En particulier, les décisions du SEM en matière d’asile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w:t>
      </w:r>
    </w:p>
    <w:p>
      <w:r>
        <w:t>A titre préliminaire, il y a lieu de relever que les motifs d’asile de l’intéressé doivent être examinés par rapport à son pays d'origine, à savoir la Syrie (cf. notamment, arrêts du Tribunal E-961/2022 du 25 août 2022 consid. 3.1 ; E-6795/2019 du 17 mars 2022 consid. 4.2 ; E-4076/2018 du</w:t>
      </w:r>
    </w:p>
    <w:p>
      <w:r>
        <w:t>E-1390/2024 Page 6 11 février 2020 consid. 3.2). Dès lors, les problèmes personnels qu’il dit avoir rencontrés en Turquie ne sont pas pertinents en matière d’asile.</w:t>
      </w:r>
    </w:p>
    <w:p>
      <w:r>
        <w:rPr>
          <w:b/>
        </w:rPr>
        <w:t>E. 4.1</w:t>
      </w:r>
    </w:p>
    <w:p>
      <w:r>
        <w:t>En mars 2011, à la suite de manifestations contre le régime et d’une répression de plus en plus violente de la part des forces de sécurité syriennes, un conflit a éclaté en Syrie, qui a finalement débouché sur une guerre civile. Depuis, la situation est demeurée difficile et instable, tant sur le plan des droits humains que sur le plan politique (cf. ATAF 2015/3 consid. 6.2 ; arrêt de référence D-5779/2013 du 25 février 2015 consid. 5.3 et 5.7.2 ; ATAF 2020 VI/4 consid. 5.3). Le 8 décembre 2024, le régime syrien sous la présidence de Bachar al-Assad a été renversé, mettant fin à plus de cinquante ans de règne de la famille Assad. Un gouvernement de transition s’est alors formé sous la présidence d’Ahmed al-Charaa, chef de Hayat Tahrir al-Cham (HTC, Organisation de libération du Levant), à savoir le groupe le plus important au sein de la coalition de groupes d’opposition armés responsables du renversement. Le 13 mars 2025, une « déclaration constitutionnelle » a été adoptée afin de servir de base juridique à la phase de transition politique. Cette déclaration et les modalités des réformes étatiques restent controversées, les principaux acteurs syro-kurdes, notamment les forces politiques représentant l’Administration autonome du nord et de l’est de la Syrie (en anglais « Democratic Autonomous Administration of North and East Syria » ; DAANES), y étant en particulier opposés. A l’heure actuelle, l’évolution de la situation en Syrie reste incertaine sur de nombreux points, tels le contrôle du territoire, l’usage de la force publique, la sécurité générale ainsi que la situation économique et humanitaire (cf. sur ces sujets EUROPEAN UNION AGENCY FOR ASYLUM, Syria : Country Focus, Country of Origin Information Report, Mars 2025, p. 19 ss ; INTERNATIONAL CRISIS GROUP, What lies in store for Syria as a new government takes power ?, 25 avril 2025 ; MINISTERIE VAN BUITENLANDSE ZAKEN [Ministère néerlandais des Affaires étrangères], Rapport officiel général sur la Syrie, Mai 2025, p. 8 ss).</w:t>
      </w:r>
    </w:p>
    <w:p>
      <w:r>
        <w:rPr>
          <w:b/>
        </w:rPr>
        <w:t>E. 4.2</w:t>
      </w:r>
    </w:p>
    <w:p>
      <w:r>
        <w:t>Lors de l’examen de la qualité de réfugié, la situation du requérant, au moment du départ de son pays d’origine, est en principe prise en compte. Toutefois, selon la doctrine et la jurisprudence, lorsque la situation dans ce pays s’est ensuite modifiée de manière significative, en faveur ou au détriment du requérant, il est tenu compte de la situation existant au moment de la décision sur la demande d’asile (cf. ATAF 2011/51 consid. 6.1 et réf. cit.).</w:t>
      </w:r>
    </w:p>
    <w:p>
      <w:r>
        <w:t>E-1390/2024 Page 7</w:t>
      </w:r>
    </w:p>
    <w:p>
      <w:r>
        <w:rPr>
          <w:b/>
        </w:rPr>
        <w:t>E. 4.3</w:t>
      </w:r>
    </w:p>
    <w:p>
      <w:r>
        <w:t>Conformément à l’art. 61 al. 1 PA, l’autorité de recours statue elle-même sur l’affaire ou la renvoie exceptionnellement à l’autorité inférieure avec des instructions impératives. L’annulation de la décision attaquée et le renvoi de la cause à l’instance inférieure sont notamment indiqués lorsque l’état de fait doit être complété et lorsque des mesures d’instructions d’une certaine ampleur doivent être menées. Dans de tels cas, l’instance de recours peut certes encore remédier à l’impossibilité de statuer, en particulier pour des raisons d’économie de procédure, mais elle n’y est pas tenue (cf. ATAF 2012/21 consid. 5).</w:t>
      </w:r>
    </w:p>
    <w:p>
      <w:r>
        <w:rPr>
          <w:b/>
        </w:rPr>
        <w:t>E. 4.4</w:t>
      </w:r>
    </w:p>
    <w:p>
      <w:r>
        <w:t>Même si l’évolution de la situation générale en Syrie n’est pas encore prévisible à l’heure actuelle, la question des effets de la chute de l’ancien régime syrien se pose déjà dans le cas présent. Il ne s’agit pas seulement d’évaluer la situation actuelle en Syrie à la lumière des évènements survenus depuis le 8 décembre 2024. Il y a surtout lieu d’examiner dans quelle mesure les changements fondamentaux intervenus ont une incidence sur les motifs d’asile du requérant. Un examen aussi conséquent n’a pas à être effectué en instance de recours, mais devant le SEM. Il y a donc lieu d’annuler la décision attaquée. Il appartiendra au SEM de procéder à une appréciation en regard de la nouvelle situation en Syrie et, au besoin, d’octroyer un droit d’être entendu au requérant. Cette solution permet d’ailleurs de maintenir le rôle de chaque instance, ce qui est d’autant plus important que le Tribunal administratif fédéral est la seule autorité judiciaire en matière d’asile et qu’il statue donc définitivement (cf. consid. 1.1 supra).</w:t>
      </w:r>
    </w:p>
    <w:p>
      <w:r>
        <w:rPr>
          <w:b/>
        </w:rPr>
        <w:t>E. 5</w:t>
      </w:r>
    </w:p>
    <w:p>
      <w:r>
        <w:t>Au vu de ce qui précède, le recours est admis, les chiffres 1 à 3 du dispositif de la décision attaquée sont annulés et la cause est renvoyée au SEM pour instruction complémentaire et nouvelle décision au sens des considérants.</w:t>
      </w:r>
    </w:p>
    <w:p>
      <w:r>
        <w:rPr>
          <w:b/>
        </w:rPr>
        <w:t>E. 6</w:t>
      </w:r>
    </w:p>
    <w:p>
      <w:r>
        <w:t>S’avérant manifestement fondé, le recours est admis dans une procédure à juge unique, avec l’approbation d’un second juge (cf. art. 111 let. e LAsi).</w:t>
      </w:r>
    </w:p>
    <w:p>
      <w:r>
        <w:rPr>
          <w:b/>
        </w:rPr>
        <w:t>E. 7.1</w:t>
      </w:r>
    </w:p>
    <w:p>
      <w:r>
        <w:t>Vu l’issue de la procédure, il y a lieu de statuer sans frais (cf. art. 63 al. 3 PA, applicable par renvoi de l’art. 37 LTAF).</w:t>
      </w:r>
    </w:p>
    <w:p>
      <w:r>
        <w:rPr>
          <w:b/>
        </w:rPr>
        <w:t>E. 7.2</w:t>
      </w:r>
    </w:p>
    <w:p>
      <w:r>
        <w:t>Conformément aux art. 64 al. 1 PA et 7 ss du règlement du 21 février 2008 concernant les frais, dépens et indemnités fixés par le Tribunal administratif fédéral [FITAF, RS 173.320.2]), le recourant peut en outre</w:t>
      </w:r>
    </w:p>
    <w:p>
      <w:r>
        <w:t>E-1390/2024 Page 8 prétendre à des dépens pour les frais indispensables occasionnés par le litige. En l’absence d’un décompte de prestations du mandataire (cf. art. 14 al. 2 FITAF), le Tribunal fixe le montant des dépens sur la base du dossier. Vu la nature de la cause et le travail accompli, le montant des dépens est arrêté, ex aequo et bono, à 1’200 francs, tous frais et taxes inclus, à charge du SEM.</w:t>
      </w:r>
    </w:p>
    <w:p>
      <w:r>
        <w:t>(dispositif : page suivante)</w:t>
      </w:r>
    </w:p>
    <w:p>
      <w:r>
        <w:t>E-1390/2024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