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E-1385/2016 vom 11. März 2016</w:t>
      </w:r>
    </w:p>
    <w:p>
      <w:r>
        <w:t>Bundesverwaltungsgericht, 2016-03-11, DE</w:t>
      </w:r>
    </w:p>
    <w:p>
      <w:r>
        <w:rPr>
          <w:b/>
        </w:rPr>
        <w:t xml:space="preserve">Quelle: </w:t>
      </w:r>
      <w:r>
        <w:t>https://mcp.opencaselaw.ch/entscheid/bvger_E-1385_2016</w:t>
      </w:r>
    </w:p>
    <w:p>
      <w:r>
        <w:t>FR: TAF E-1385/2016 du 11 mars 2016</w:t>
      </w:r>
    </w:p>
    <w:p>
      <w:r>
        <w:t>IT: TAF E-1385/2016 del 11 marzo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ist als Verfügungsadressat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einen Schriftenwechsel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w:t>
      </w:r>
    </w:p>
    <w:p>
      <w:r>
        <w:t>Der Beschwerdeführer begründet seinen Eventualantrag (Rückweisung der Sache) mit der Rüge der Verletzung des Rechts auf rechtliches Gehör. Sinngemäss rügt er, die Vorinstanz sei auf die im mit am 28. Januar 2016 eingereichten Arztzeugnis geltend gemachten Probleme mit seinem (...) mit keinem Wort eingegangen und habe damit wohl auch den Sachverhalt nicht vollständig erstellt. Diese Rüge ist vorweg zu prüfen, da ihre Gutheissung zu einer Aufhebung der angefochtenen Verfügung aus formellen Gründen führt, ungeachtet der Erfolgsaussichten der Beschwerde in der Sache selbst. Vorliegend hat die Vorinstanz das entsprechende Vorbringen tatsächlich mit keinem Wort erwähnt und damit weder den rechtserheblichen Sachverhalt vollständig erfasst noch ihre Begründungspflicht eingehalten. Im Interesse des Erhalts des Instanzenzuges sowie der Verfahrensökonomie kommt eine Heilung dieses Mangels auf Beschwerdeebene nicht in Betracht und ist die angefochtene Verfügung aufzuheben und die Sache zu neuer Beurteilung und Entscheidung an die Vorinstanz zurückzuweisen.</w:t>
      </w:r>
    </w:p>
    <w:p>
      <w:r>
        <w:rPr>
          <w:b/>
        </w:rPr>
        <w:t>E. 7</w:t>
      </w:r>
    </w:p>
    <w:p>
      <w:r>
        <w:t>Die Beschwerde ist gutzuheissen. Die angefochtene Verfügung ist aufzuheben und die Sache im Sinne der Erwägungen an das SEM zurückzuweisen.</w:t>
      </w:r>
    </w:p>
    <w:p>
      <w:r>
        <w:rPr>
          <w:b/>
        </w:rPr>
        <w:t>E. 8</w:t>
      </w:r>
    </w:p>
    <w:p>
      <w:r>
        <w:t>Bei diesem Ausgang des Verfahrens sind keine Kosten zu erheben (Art. 63 Abs. 1 und 2 VwVG). Das Gesuch um unentgeltliche Rechtspflege sowie die übrigen Prozessanträge erweisen sich als gegenstandslos.</w:t>
      </w:r>
    </w:p>
    <w:p>
      <w:r>
        <w:rPr>
          <w:b/>
        </w:rPr>
        <w:t>E. 9</w:t>
      </w:r>
    </w:p>
    <w:p>
      <w:r>
        <w:t>Dem obsiegenden Beschwerdeführer ist in Anwendung von Art. 64 Abs. 1 VwVG und Art. 8 des Reglements vom 21. Februar 2008 über die Kosten und Entschädigungen vor dem Bundesverwaltungsgericht (VGKE, SR 173.320.2) eine Entschädigung für die notwendigerweise erwachsenen Parteikosten zuzusprechen. Der Rechtsvertreter weist einen Vertretungsaufwand von zehn Stunden zu einem Stundenansatz von Fr. 200.- sowie Barauslagen im Betrag von Fr. 20.-, mithin insgesamt Fr. 2020.- aus. Dieser Zeitaufwand erscheint dem Gericht als ungerechtfertigt hoch, zumal die Ausführungen in der Beschwerdeschrift sich zu einem grossen Teil als unnötig erwiesen haben und der Beschwerdeführer sich das Versäumnis der Vorinstanz mitanzulasten hat, da er in Verletzung seiner Mitwirkungspflicht ihr weder den Unfall angezeigt hat, der zu den (...)verletzungen geführt hatte, noch in der Eingabe vom 28. Januar 2016 auf die entsprechende Problematik hingewiesen hat. Der verhältnismässige und notwendige Aufwand ist daher auf Fr. 500.- (inklusive aller Auslagen) anzusetzen. Die Vorinstanz ist nach Art. 64 Abs. 2 VwVG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