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E-1380/2019 vom 2. April 2019</w:t>
      </w:r>
    </w:p>
    <w:p>
      <w:r>
        <w:t>Bundesverwaltungsgericht, 2019-04-02, DE</w:t>
      </w:r>
    </w:p>
    <w:p>
      <w:r>
        <w:rPr>
          <w:b/>
        </w:rPr>
        <w:t xml:space="preserve">Quelle: </w:t>
      </w:r>
      <w:r>
        <w:t>https://mcp.opencaselaw.ch/entscheid/bvger_E-1380_2019</w:t>
      </w:r>
    </w:p>
    <w:p>
      <w:r>
        <w:t>FR: TAF E-1380/2019 du 2 avril 2019</w:t>
      </w:r>
    </w:p>
    <w:p>
      <w:r>
        <w:t>IT: TAF E-1380/2019 del 2 aprile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aAsylG; Art. 83 Bst. d Ziff. 1 BGG).</w:t>
      </w:r>
    </w:p>
    <w:p>
      <w:r>
        <w:rPr>
          <w:b/>
        </w:rPr>
        <w:t>E. 1.2</w:t>
      </w:r>
    </w:p>
    <w:p>
      <w:r>
        <w:t>Das Verfahren richtet sich nach dem VwVG, dem VGG und dem BGG, soweit das AsylG nichts anderes bestimmt (Art. 37 VGG und Art. 6 AsylG).</w:t>
      </w:r>
    </w:p>
    <w:p>
      <w:r>
        <w:rPr>
          <w:b/>
        </w:rPr>
        <w:t>E. 1.3</w:t>
      </w:r>
    </w:p>
    <w:p>
      <w:r>
        <w:t>Für die im Zeitpunkt des Inkrafttretens der Änderung des Asylgesetzes vom 25. September 2015 hängigen Dublin-Verfahren gilt das bisher dafür anwendbare Recht (vgl. Abs. 2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VwVG).</w:t>
      </w:r>
    </w:p>
    <w:p>
      <w:r>
        <w:rPr>
          <w:b/>
        </w:rPr>
        <w:t>E. 1.5</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begründete Beschwerden wird in einzelrichterlicher Zuständigkeit mit Zustimmung eines zweiten Richters beziehungsweise einer zweiten Richterin entschieden (Art. 111 Bst. e AsylG). Den nachfolgenden Erwägungen ist zu entnehmen, dass hier eine solche Beschwerde vorliegt. Das Urteil ist deshalb nur summarisch zu begründen (Art. 111a Abs. 2 AsylG), Gestützt auf Art. 111a Abs. 1 AsylG wurde zwecks Vermeidung unnötigen Aufwands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Akten ist zu entnehmen, dass der Beschwerdeführerin von den deutschen Behörden am 22. Juli 2018 ein vom (...) 2018 bis am (...) 2020 gültiges Schengen-Visum ausgestellt wurde. Das SEM ersuchte die deutschen Behörden am 22. Februar 2019 um Aufnahme der Beschwerdeführerin gestützt auf Art. 21 Dublin-III-VO, und die deutschen Behörden stimmten diesem Gesuch am 4. März 2019 ausdrücklich zu. Die grundsätzliche Zuständigkeit Deutschlands ist somit gegeben, was von der Beschwerdeführerin auch nicht bestritten wird.</w:t>
      </w:r>
    </w:p>
    <w:p>
      <w:r>
        <w:rPr>
          <w:b/>
        </w:rPr>
        <w:t>E. 4.2</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4.2.1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war und ist die Anwendung von Art. 3 Abs. 2 Dublin-III-VO nicht gerechtfertigt.</w:t>
      </w:r>
    </w:p>
    <w:p>
      <w:r>
        <w:rPr>
          <w:b/>
        </w:rPr>
        <w:t>E. 4.3.1</w:t>
      </w:r>
    </w:p>
    <w:p>
      <w:r>
        <w:t>Die Beschwerdeführerin rügte in ihrer Beschwerdeeingabe im Wesentlichen, die Vorinstanz habe das ihr bei der Anwendung der Ermessensklausel von Art. 17 Abs. 1 Dublin-III-VO (respektive der das Selbsteintrittsrecht im Landesrecht konkretisierenden Bestimmung von Art. 29a Abs. 3 der Asylverordnung 1 vom 11. August 1999 [AsylV 1, SR 142.311], gemäss welcher das SEM das Asylgesuch "aus humanitären Gründen" auch dann behandeln kann, wenn dafür gemäss Dublin-III-VO ein anderer Staat zuständig wäre) zukommende Ermessen nicht korrekt ausgeübt. Sie habe zwar die von ihr vorgebrachten gesundheitlichen Probleme berücksichtigt, habe jedoch das Vorliegen weiterer, kumulativer Faktoren, die zu einer erhöhten Vulnerabilität führen würden, nämlich ihr Alter und das Fehlen eines sozialen Beziehungsnetzes in Deutschland, nicht gewürdigt.</w:t>
      </w:r>
    </w:p>
    <w:p>
      <w:r>
        <w:rPr>
          <w:b/>
        </w:rPr>
        <w:t>E. 4.3.2</w:t>
      </w:r>
    </w:p>
    <w:p>
      <w:r>
        <w:t>Den Akten sind einerseits mehrere Hinweise auf nicht unerhebliche Gesundheitsbeschwerden der knapp (...)-jährigen Beschwerdeführerin zu entnehmen; andererseits gab sie in der Befragung vom 24. Januar 2019 zu Protokoll, dass ihre vier Schwestern und eine Nichte in der Schweiz leben (vgl. Protokoll A6 S. 5).</w:t>
      </w:r>
    </w:p>
    <w:p>
      <w:r>
        <w:rPr>
          <w:b/>
        </w:rPr>
        <w:t>E. 4.3.3</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Art. 106 Abs. 1 aBst.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4.3.4</w:t>
      </w:r>
    </w:p>
    <w:p>
      <w:r>
        <w:t>In der angefochtenen Verfügung wurden im Rahmen der Prüfung einer Anwendung der Souveränitätsklausel zwar die geltend gemachten gesundheitlichen Probleme der Beschwerdeführerin ausdrücklich gewürdigt. Im Übrigen enthält sie aber nur die textbausteinmässige Feststellung, wonach in Würdigung der Aktenlage und der geltend gemachten Umstände keine Gründe vorliegen, die die Anwendung der Souveränitätsklausel der Schweiz rechtfertigen würden.</w:t>
      </w:r>
    </w:p>
    <w:p>
      <w:r>
        <w:rPr>
          <w:b/>
        </w:rPr>
        <w:t>E. 4.3.5</w:t>
      </w:r>
    </w:p>
    <w:p>
      <w:r>
        <w:t>Im Rahmen der Gewährung des rechtlichen Gehörs zu einer allfälligen Zuständigkeit Deutschlands für ihr Asylgesuch und einer Überstellung in dieses Land hatte die Beschwerdeführerin indessen ausdrücklich auf ihr Alter und das Fehlen von Bezugspersonen in diesem Land hingewiesen (vgl. Protokoll A6 S. 8). Der Umstand, dass ihr am 24. Januar 2019 - aussergewöhnlicherweise während der Durchführung des Dublin-Verfahrens - eine private Unterbringung bei ihrer Nichte bewilligt wurde, lässt darauf schliessen, dass auch von der Vorinstanz eine erhöhte Vulnerabilität anerkannt wurde.</w:t>
      </w:r>
    </w:p>
    <w:p>
      <w:r>
        <w:rPr>
          <w:b/>
        </w:rPr>
        <w:t>E. 4.3.6</w:t>
      </w:r>
    </w:p>
    <w:p>
      <w:r>
        <w:t>Das SEM hat es demnach unterlassen, in substanziierter und nachvollziehbarer Weise zu begründen, inwiefern es unter Berücksichtigung sämtlicher Umstände des vorliegenden Verfahrens (des persönlichen Hintergrundes der Beschwerdeführerin, ihres Alters, der gesundheitlichen Umstände, der Unterstützungsmöglichkeit der in der Schweiz lebenden Familienangehörigen) nicht angezeigt erscheint, die Souveränitätsklausel aus humanitären Gründen auszuüben.</w:t>
      </w:r>
    </w:p>
    <w:p>
      <w:r>
        <w:rPr>
          <w:b/>
        </w:rPr>
        <w:t>E. 4.3.7</w:t>
      </w:r>
    </w:p>
    <w:p>
      <w:r>
        <w:t>Bei dieser spezifischen Aktenlage muss das Gericht feststellen, dass das SEM sein Ermessen faktisch nicht ausgeübt hat (Ermessensunterschreitung; vgl. BVGE 2015/9 E. 6.1 m.w.H.).</w:t>
      </w:r>
    </w:p>
    <w:p>
      <w:r>
        <w:rPr>
          <w:b/>
        </w:rPr>
        <w:t>E. 4.3.8</w:t>
      </w:r>
    </w:p>
    <w:p>
      <w:r>
        <w:t>Im Weiteren hat das SEM - entgegen der von der Beschwerdeführerin vertretenen Auffassung (vgl. Beschwerde S. 6) - auch den Sachverhalt nicht vollständig abgeklärt: Bei der Befragung wurden der Beschwerdeführerin trotz ihrer objektiv aussergewöhnlichen persönlichen Situation keinerlei Fragen nach ihrer Beziehung zu ihren Verwandten gestellt. Das Gericht kann bei dieser Aktenlage in keiner Weise beurteilen, ob und inwieweit die betagte Beschwerdeführerin aus medizinischen oder anderen Gründen auf die Unterstützung durch Bezugspersonen angewiesen ist.</w:t>
      </w:r>
    </w:p>
    <w:p>
      <w:r>
        <w:rPr>
          <w:b/>
        </w:rPr>
        <w:t>E. 4.4</w:t>
      </w:r>
    </w:p>
    <w:p>
      <w:r>
        <w:t>Das Rechtsmittel der Beschwerdeführerin ist nach dem Gesagten insoweit begründet als die Verletzung von Bundesrecht gerügt und die Aufhebung der angefochtenen Verfügung verlangt worden ist.</w:t>
      </w:r>
    </w:p>
    <w:p>
      <w:r>
        <w:rPr>
          <w:b/>
        </w:rPr>
        <w:t>E. 5</w:t>
      </w:r>
    </w:p>
    <w:p>
      <w:r>
        <w:t>Die Beschwerde ist gutzuheissen. Die angefochtene Verfügung ist aufzuheben. Eine Heilung des mangelhaften erstinstanzlichen Verfahrens im Rahmen des Beschwerdeverfahrens ist schon deshalb ausgeschlossen, weil das Gericht im Anwendungsbereich der hier relevanten Bestimmung von Art. 29a Abs. 3 AsylV1 nicht über volle Kognition verfügt (vgl. hierzu etwa BVGE 2014/22 E. 5.8). Die Akten sind der Vorinstanz zur korrekten Weiterführung des Verfahrens zu überweisen.</w:t>
      </w:r>
    </w:p>
    <w:p>
      <w:r>
        <w:rPr>
          <w:b/>
        </w:rPr>
        <w:t>E. 6</w:t>
      </w:r>
    </w:p>
    <w:p>
      <w:r>
        <w:t>Bei diesem Verfahrensausgang sind keine Kosten zu erheben (Art. 63 Abs. 1 und 2 VwVG). Der Antrag auf Gewährung der unentgeltlichen Prozessführung gemäss Art. 65 Abs. 1 VwVG wird damit gegenstandslos. Das Gleiche gilt für das Gesuch um Befreiung von der Kostenvorschusspflicht.</w:t>
      </w:r>
    </w:p>
    <w:p>
      <w:r>
        <w:rPr>
          <w:b/>
        </w:rPr>
        <w:t>E. 7</w:t>
      </w:r>
    </w:p>
    <w:p>
      <w:r>
        <w:t>Der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Beschwerde wurden die bisherigen Parteikosten mit Fr. 810.- angegeben, was angemessen erscheint. Die von der Vorinstanz auszurichtende Parteientschädigung ist demnach in dieser Höhe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