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E-1373/2024 vom 20. März 2024</w:t>
      </w:r>
    </w:p>
    <w:p>
      <w:r>
        <w:t>Bundesverwaltungsgericht, 2024-03-20, DE</w:t>
      </w:r>
    </w:p>
    <w:p>
      <w:r>
        <w:rPr>
          <w:b/>
        </w:rPr>
        <w:t xml:space="preserve">Quelle: </w:t>
      </w:r>
      <w:r>
        <w:t>https://mcp.opencaselaw.ch/entscheid/bvger_E-1373_2024</w:t>
      </w:r>
    </w:p>
    <w:p>
      <w:r>
        <w:t>FR: TAF E-1373/2024 du 20 mars 2024</w:t>
      </w:r>
    </w:p>
    <w:p>
      <w:r>
        <w:t>IT: TAF E-1373/2024 del 20 marzo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E-1373/2024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einer zweiten Richterin oder eines zweiten Richters entschieden (Art. 111 Bst. e AsylG). Wie nachstehend aufgezeigt, handelt es sich um eine solche, weshalb das Urteil nur summa- risch zu begründen ist (Art. 111a Abs. 2 AsylG).</w:t>
      </w:r>
    </w:p>
    <w:p>
      <w:r>
        <w:rPr>
          <w:b/>
        </w:rPr>
        <w:t>E. 3.2</w:t>
      </w:r>
    </w:p>
    <w:p>
      <w:r>
        <w:t>Gestützt auf Art. 111a Abs. 1 AsylG wurde auf die Durchführung eines Schriftenwechsels verzichtet.</w:t>
      </w:r>
    </w:p>
    <w:p>
      <w:r>
        <w:rPr>
          <w:b/>
        </w:rPr>
        <w:t>E. 4</w:t>
      </w:r>
    </w:p>
    <w:p>
      <w:r>
        <w:t>Es ist festzustellen, dass die Beschwerde sämtliche Formerfordernisse nach Art. 52 Abs. 1 VwVG erfüllt, da sie klare Begehren, eine Begrün- dung – mit einem formellen sowie materiellen Teil – und die Unterschrift des Beschwerdeführers enthält. Zudem sind die gesetzlichen Vorausset- zungen für eine Beschwerdeergänzung nach Art. 53 VwVG nicht gegeben, da weder ein aussergewöhnlicher Umfang noch besondere Schwierigkei- ten der Beschwerdesache ersichtlich sind. Es besteht daher kein Anlass, eine Frist zur ergänzenden Stellungnahme einzuräumen. Das vorliegende Verfahren ist spruchreif. Der Antrag, es sei eine angemessene Frist zur Einreichung einer Beschwerdeergänzung anzusetzen, ist somit abzuwei- sen.</w:t>
      </w:r>
    </w:p>
    <w:p>
      <w:r>
        <w:rPr>
          <w:b/>
        </w:rPr>
        <w:t>E. 5.1</w:t>
      </w:r>
    </w:p>
    <w:p>
      <w:r>
        <w:t>Der Beschwerdeführer rügt, die Ausführungen der Vorinstanz zur Re- flexverfolgung seien zu knapp ausgefallen. Zudem seien Argumente, wel- che für die Glaubhaftigkeit sprechen würden, in den Erwägungen nicht auf- geführt worden. Diese formellen Rügen sind vorab zu prüfen, da sie zu einer Kassation der angefochtenen Verfügung führen können.</w:t>
      </w:r>
    </w:p>
    <w:p>
      <w:r>
        <w:rPr>
          <w:b/>
        </w:rPr>
        <w:t>E. 5.2</w:t>
      </w:r>
    </w:p>
    <w:p>
      <w:r>
        <w:t>Es trifft zwar zu, dass die vorinstanzlichen Ausführungen betreffend den Bruder des Beschwerdeführers knapp ausgefallen sind. Die Vorinstanz hat indessen das Dossier des Bruders korrekt beigezogen (vgl. angefochtene Verfügung S. 4) und sich in der angefochtenen Verfügung ausreichend mit einer hieraus möglicherweise resultierenden</w:t>
      </w:r>
    </w:p>
    <w:p>
      <w:r>
        <w:t>E-1373/2024 Seite 5 Reflexverfolgung auseinandergesetzt (vgl. a.a.O. insb. S. 9). Sie hat im Übrigen nachvollziehbar und im Einzelnen hinreichend differenziert aufge- zeigt, von welchen Überlegungen sie sich hat leiten lassen. Hierbei musste sie sich nicht mit allen Parteistandpunkten einlässlich auseinandersetzen und jedes einzelne Vorbringen ausdrücklich widerlegen (vgl. BGE 143 III 65 E. 5.2). Ob eine Glaubhaftigkeitsprüfung zutreffend ist, beschlägt im Üb- rigen die materielle Frage der rechtlichen Würdigung der Vorbringen und ist gegebenenfalls an entsprechender Stelle zu prüfen. Es liegt somit we- der eine Verletzung der Begründungspflicht vor noch ist eine Verletzung anderer Verfahrensrechte erkennbar. Die formellen Rügen erweisen sich als unbegründet.</w:t>
      </w:r>
    </w:p>
    <w:p>
      <w:r>
        <w:rPr>
          <w:b/>
        </w:rPr>
        <w:t>E. 5.3</w:t>
      </w:r>
    </w:p>
    <w:p>
      <w:r>
        <w:t>Folglich rechtfertigt sich eine Rückweisung der Sache an die Vorinstanz zur Neubeurteilung nicht. Das Eventualbegehren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Wenn eine asylsuchende Person erst durch die Flucht aus dem Hei- mat- oder Herkunftsstaat oder wegen ihres Verhaltens nach der Ausreise eine Verfolgung im Sinne von Art. 3 AsylG zu befürchten hat, sind soge- nannte subjektive Nachfluchtgründe anzunehmen. Wesentlich ist, ob die heimatlichen Behörden das Verhalten des Asylsuchenden als staatsfeind- lich einstufen und dieser deswegen bei einer Rückkehr eine Verfolgung befürchten muss. Personen mit subjektiven Nachfluchtgründen erhalten zwar kein Asyl, werden jedoch als Flüchtlinge vorläufig aufgenommen (Art. 54 AsylG; vgl. BVGE 2009/28 E. 7.1 sowie Entscheidungen und Mit- teilungen der Schweizerischen Asylrekurskommission [EMARK] 2000 Nr. 16 E. 5a m.w.H.).</w:t>
      </w:r>
    </w:p>
    <w:p>
      <w:r>
        <w:rPr>
          <w:b/>
        </w:rPr>
        <w:t>E. 6.3</w:t>
      </w:r>
    </w:p>
    <w:p>
      <w:r>
        <w:t>Nach Prüfung der Akten durch das Gericht ist in Übereinstimmung mit der Vorinstanz festzustellen, dass die Vorbringen des Beschwerdeführers den Anforderungen an die Flüchtlingseigenschaft nach Art. 3 AsylG nicht</w:t>
      </w:r>
    </w:p>
    <w:p>
      <w:r>
        <w:t>E-1373/2024 Seite 6 standzuhalten vermögen, weshalb vorab auf die ausführlichen sowie zu- treffenden Erwägungen der Vorinstanz zu verweisen ist (vgl. angefochtene Verfügung S. 4–9). Die vorinstanzliche Schlussfolgerung ist weder in tat- sächlicher noch in rechtlicher Hinsicht zu beanstanden. Die Beschwerde- vorbringen sind nicht ansatzweise geeignet, zu einer von der Vorinstanz abweichenden Betrachtungsweise zu gelangen, vermögen sie dieser doch nichts Stichhaltiges entgegenzuhalten (vgl. Beschwerde S. 2). Was die erlittenen Nachteile aufgrund der Ethnie und Herkunft des Be- schwerdeführers anbelangt, hat die Vorinstanz zutreffen festgestellt, dass es sich bei diesen nicht um ernsthafte Nachteile im Sinne des Asylgesetzes handelt, die einen Verbleib im Heimatland verunmöglicht oder unzumutbar erschwert hätten, konnte der Beschwerdeführer doch trotzdem das Gym- nasium abschliessen, in sein Elternhaus zurückkehren und in der Türkei bis zu seiner Ausreise ein geregeltes Leben führen. Die vom Beschwerde- führer konkret geltend gemachten Vorkommnisse gehen in ihrer Intensität nicht über die Nachteile hinaus, welche weite Teile der kurdischen und ale- vitischen Bevölkerung in der Türkei in ähnlicher Weise treffen können. Auch die Nachteile, welche der Beschwerdeführer angeblich im Zusam- menhang mit seinem älteren Bruder anlässlich der Polizeirazzien zuhause erlitten haben will, sind mangels genügender Intensität nicht als ernsthaft im Sinne von Art. 3 Abs. 2 AsylG zu qualifizieren. Dasselbe gilt für die re- gelmässigen abendlichen Polizeikontrollen. Vielmehr untermauern diese – zusammen mit der legalen Ausreise auf dem Luftweg – die Schlussfolgerung, wonach der Beschwerdeführer vor seiner Ausreise aus der Türkei nicht ernsthaft von den Behörden gesucht worden ist, andern- falls ihn die Polizei anlässlich all dieser Möglichkeiten hätte festnehmen können, was sie offensichtlich nicht getan hat. Vor diesem Hintergrund kann auch eine konkrete Gefährdung aufgrund ei- ner Reflexverfolgung ausgeschlossen werden. Zwar wurde der ältere Bru- der des Beschwerdeführers in der Schweiz als Flüchtling anerkannt und es wurde ihm Asyl gewährt. Es ist indessen festzustellen, dass der Beschwer- deführer – abgesehen von Diskriminierungen an der Schule sowie den Hausbesuchen der Polizei seit (…) und dem dabei an den Tag gelegten Verhalten der Polizisten – keine konkreten Verfolgungsmassnahmen im Zusammenhang mit seinem Bruder geltend gemacht hat, obwohl er meh- rere Jahre nach diesem aus der Türkei ausgereist ist. Auch bringt er auf Beschwerdeebene hierzu nichts Konkretes vor. Es ist folglich nicht davon auszugehen, dass der Beschwerdeführer bei einer Rückkehr in die Türkei</w:t>
      </w:r>
    </w:p>
    <w:p>
      <w:r>
        <w:t>E-1373/2024 Seite 7 deswegen ernsthaften Nachteilen im Sinne einer asylbeachtlichen Re- flexverfolgung ausgesetzt wäre. Nach dem Gesagten ist nicht davon auszugehen, dass der Beschwerde- führer im Ausreisezeitpunkt einer asylbeachtlichen Verfolgung durch die Behörden ausgesetzt war; entsprechende Vorfluchtgründe sind zu vernei- nen. Was schliesslich die Beweismittel anbelangt, wurden diese alle nach der Ausreise des Beschwerdeführers aus der Türkei ausgestellt (vgl. Sachver- halt Bst. A). Es liegen insbesondere eine Anklage vom (…) gegen den Be- schwerdeführer sowie eine angeordnete Festnahme vor. Zudem macht der Beschwerdeführer geltend, nach seiner Ausreise von den Behörden ge- sucht worden zu sein. Aus der Anklageschrift ergibt sich, dass dem Be- schwerdeführer Äusserungen auf (…) angelastet werden, die in einem en- gen zeitlichen Zusammenhang mit seinem Asylgesuch in der Schweiz ste- hen (vgl. SEM-eAkten 3 Nr. 3 und 29/7 S. 5 f.). Die Kommentare, welche die Aufmerksamkeit der türkischen Behörden erweckt haben, stammen ausschliesslich aus dem Zeitraum, als der Beschwerdeführer in B._______ war (…). Die an den C._______ gerichteten Beleidigungen (namentlich: …) wurden vom Beschwerdeführer als Kommentare direkt auf dem offiziellen (…) platziert. Dieses Vorgehen lässt – der Vorinstanz folgend – darauf schliessen, dass das gegen den Beschwerdeführer anhängig gemachte Verfahren bewusst durch diesen provoziert worden ist, um subjektive Nachfluchtgründe zu konstruieren und damit ein Aufenthaltsrecht in der Schweiz auf der Grundlage des Asylrechts zu erlangen. Ein solches Vor- gehen ist klar rechtsmissbräuchlich und nicht schutzwürdig, weshalb nicht vorschnell auf eine asylrechtlich relevante Gefährdung des Beschwerde- führers geschlossen werden darf. Es ist vielmehr davon auszugehen, dass der Beschwerdeführer gegenüber den türkischen Strafbehörden die Gele- genheit haben wird, seine Beweggründe für die Aktivitäten auf den sozialen Medien (seine Absicht, sich in der Schweiz ein Aufenthaltsrecht zu erwir- ken) offen zu legen. Ferner folgen ihm nach eigenen Angaben jedenfalls auf (…) nur wenige Personen (vgl. SEM-eAkten 23/13 F73), so dass seine Nachrichten offenbar bloss eine geringe Resonanz auslösen und auch diesbezüglich nicht den Eindruck eines wahren politischen Aktivisten ver- mitteln. Es darf daher angenommen werden, dass es dem Beschwerdefüh- rer gelingen wird, die türkischen Behörden von der fehlenden Ernsthaf- tigkeit der politischen Inhalte seines (…) zu überzeugen. Damit ist festzu- halten, dass die entsprechenden vorinstanzlichen Erwägungen mit der Rechtsprechung des Bundesverwaltungsgerichts in ähnlich gelagerten</w:t>
      </w:r>
    </w:p>
    <w:p>
      <w:r>
        <w:t>E-1373/2024 Seite 8 Fällen übereinstimmen und nicht zu beanstanden sind (vgl. Urteile des BVGer E-7253/2023 vom 19. Februar 2024 E. 6.5 m.w.V.; E-5319/2023 vom 15. Dezember 2023 E. 4.2.2, E-6449/2023 vom 8. Dezember 2023 S. 11 f., E 3568/2023 vom 19. September 2023 E. 7.2, E-2549/2023 vom 5. September 2023 E. 6.4 f., E-1518/2023 vom 19. Juni 2023 E. 6.3 f., E- 87/2023 vom 29. März 2023 E. 6.2, D-2098/2021 vom 24. November 2022 E. 5.3). Dieser Schlussfolgerung stellt der Beschwerdeführer in seiner Be- schwerde sodann auch nichts entgegen. In diesem Zusammenhang ist zu- dem darauf hinzuweisen, dass in der Türkei Strafverfahren oft in teils hoher Zahl eingeleitet, aber häufig auch wieder eingestellt werden (vgl. Urteil des BVGer E-5050/2023 vom 6. November 2023 E. 7.1, E- 3568/2023 vom 19. September 2023 E. 7.2.4. sowie angefochtene Verfügung S. 6–8 zur ausführlichen Darlegung des türkischen Strafverfahrens). Selbst wenn die heimatlichen Behörden das Strafverfahren gegen den Beschwerdeführer nach seiner Rückkehr in die Türkei fortführen sollten, ist in Ermangelung eines ernsthaften politischen Profils nicht davon auszugehen, dass er ei- nem flüchtlingsrechtlich relevanten Risiko ausgesetzt wäre. Aufgrund des Inhalts der (…) und nach Durchsicht der Anklageschrift sowie der übrigen Beweismittel ist überdies nicht von einer illegitimen Strafverfolgung und – mangels entsprechender Hinweise in den Akten – auch nicht von einem Politmalus auszugehen. Nach dem Gesagten ergibt sich, dass der Beschwerdeführer auch im Zu- sammenhang mit dem nach seiner Ausreise bewirkten und gegen ihn ein- geleiteten Ermittlungsverfahren nicht mit überwiegender Wahrscheinlich- keit mit ernsthaften Nachteilen im Sinne von Art. 3 AsylG zu rechnen hat.</w:t>
      </w:r>
    </w:p>
    <w:p>
      <w:r>
        <w:rPr>
          <w:b/>
        </w:rPr>
        <w:t>E. 6.4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w:t>
      </w:r>
    </w:p>
    <w:p>
      <w:r>
        <w:t>E-1373/2024 Seite 9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E-1373/2024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Angehö- rige der kurdischen Ethnie – auszugehen (vgl. bspw. Urteile des BVGer D- 5950/2023 vom 15. Dezember 2023 E. 9.3.2, D-4202/2023 vom 10. Okto- ber 2023 E. 8.3.2 je m.w.H.). Das Bundesverwaltungsgericht erachtet den Wegweisungsvollzug einzig in die Provinzen Hakkari und Sirnak aufgrund einer anhaltenden Situation allgemeiner Gewalt als unzumutbar (vgl. BVGE 2013/2 E. 9.6). Der Beschwerdeführer verbrachte den Grossteil sei- nes Lebens in D._______, in der gleichnamigen Provinz, eine Region, die vom Erdbeben im Frühjahr 2023 nicht betroffen war. Eine Rückkehr in sei- nen Heimatstaat ist demnach als generell zumutbar zu erachten.</w:t>
      </w:r>
    </w:p>
    <w:p>
      <w:r>
        <w:t>E-1373/2024 Seite 11 Auch in individueller Hinsicht sind keine Gründe ersichtlich, die gegen die Zumutbarkeit der Wegweisung sprechen. Der gesunde, alleinstehende Be- schwerdeführer verfügt über gute Schulbildung und Berufserfahrung (vgl. bspw. SEM-eAkten 23/13 F4 f. und F12 ff.). Überdies kann er in seiner Heimat auf ein intaktes familiäres Beziehungsnetz – ohne finanzielle Schwierigkeiten (vgl. a.a.O. F18) – zurückgreifen. Insgesamt ist nicht da- von auszugehen, dass der Beschwerdeführer bei einer Rückkehr in sein Heimatland dort aus wirtschaftlichen, sozialen oder gesundheitlichen Grün- den in eine existenzbedrohende Situation geraten würde. Andere individu- elle Gründe, die gegen einen Wegweisungsvollzug sprechen, sind ebenso wenig ersichtlich. Nach dem Gesagten erweist sich der Vollzug der Wegweisung als zumut- 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w:t>
      </w:r>
    </w:p>
    <w:p>
      <w:r>
        <w:rPr>
          <w:b/>
        </w:rPr>
        <w:t>E. 10.2</w:t>
      </w:r>
    </w:p>
    <w:p>
      <w:r>
        <w:t>Der Antrag auf Verzicht auf die Erhebung eines Kostenvorschusses ist mit vorliegendem Urteil gegenstandslos geworden.</w:t>
      </w:r>
    </w:p>
    <w:p>
      <w:r>
        <w:t>E-1373/2024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