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E-1371/2017 vom 22. März 2017</w:t>
      </w:r>
    </w:p>
    <w:p>
      <w:r>
        <w:t>Bundesverwaltungsgericht, 2017-03-22, DE</w:t>
      </w:r>
    </w:p>
    <w:p>
      <w:r>
        <w:rPr>
          <w:b/>
        </w:rPr>
        <w:t xml:space="preserve">Quelle: </w:t>
      </w:r>
      <w:r>
        <w:t>https://mcp.opencaselaw.ch/entscheid/bvger_E-1371_2017</w:t>
      </w:r>
    </w:p>
    <w:p>
      <w:r>
        <w:t>FR: TAF E-1371/2017 du 22 mars 2017</w:t>
      </w:r>
    </w:p>
    <w:p>
      <w:r>
        <w:t>IT: TAF E-1371/2017 del 22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Ausländergesetzes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kommt in der Verfügung zum Schluss, die Aussagen des Beschwerdeführers würden den Anforderungen an die Glaubhaftmachung nicht genügen. Er könne nicht begründen, weshalb er von der Familie des Mädchens eines Verbrechens beschuldigt worden sei und warum ihn sein Onkel zur Polizei gebracht habe. Darüber hinaus sei nicht nachvollziehbar, weshalb er trotz der Angst vor Repressalien der Familie und vor den Konsequenzen seines Gefängnisausbruches zurück in sein Heimatdorf gegangen und dort drei Monate geblieben sei. Seine diesbezüglichen Aussagen würden zudem Widersprüche beinhalten. Überdies wäre zu erwarten gewesen, dass er seine Vorbringen mit Beweisen belege. Auch die geltend gemachten schwierigen Lebensbedingungen in seinem Heimatland würden nicht als asylbeachtliche Verfolgung im Sinne von Art. 3 AsylG gelten.</w:t>
      </w:r>
    </w:p>
    <w:p>
      <w:r>
        <w:rPr>
          <w:b/>
        </w:rPr>
        <w:t>E. 4.4</w:t>
      </w:r>
    </w:p>
    <w:p>
      <w:r>
        <w:t>In der Rechtmitteleingabe macht der Beschwerdeführer geltend, die Vorinstanz habe in Verletzung des Untersuchungsgrundsatzes einzig die angeblich gegen ihn sprechenden Sachverhaltselemente erwähnt und diejenigen Elemente, welche für ihn sprechen, keiner Würdigung unterzogen. Die Argumentation der Vorinstanz hinsichtlich der Unglaubhaftigkeit seiner Aussagen sei nicht nachvollziehbar. Sein Onkel habe die Polizei hinzugezogen, damit die Familie des Mädchens nicht zur Selbstjustiz greife. Er sei deswegen von ihm enttäuscht gewesen. Mit den Besuchen im Gefängnis habe der Onkel ihm aber gezeigt, dass er ihm viel bedeute. Zudem liege es auf der Hand, dass er sich nach seiner Flucht aus dem Gefängnis bei seiner Mutter versteckt gehalten habe. Schliesslich könne von einem traumatisierten Jungen nicht erwartet werden, dass er seine Erlebnisse sorgfältig dokumentiere.</w:t>
      </w:r>
    </w:p>
    <w:p>
      <w:r>
        <w:rPr>
          <w:b/>
        </w:rPr>
        <w:t>E. 4.5</w:t>
      </w:r>
    </w:p>
    <w:p>
      <w:r>
        <w:t>Die Beweiswürdigung der Vorinstanz ist nicht zu beanstanden. Die Vor-instanz hat zutreffend festgestellt, dass die Angaben des Beschwerdeführers bezüglich der Schuldzuweisung der Familie am Tod des Mädchens oberflächlich ausgefallen sind (vgl. Akten der Vorinstanz A18/15; F24, F26). Den diesbezüglichen vorinstanzlichen Feststellungen wird auf Beschwerdeebene nichts Stichhaltiges entgegengesetzt. So vermag der Beschwerdeführer nicht plausibel darzulegen, weshalb er für den Tod des Mädchen verantwortlich gemacht worden sein sollte, zumal er angab, dass sie nicht zusammengewohnt hätten und das Mädchen nebst ihm weitere Freunde gehabt habe, womit es nicht einmal erwiesen war, dass er der Vater des Kindes ist. Es ist zudem nicht nachvollziehbar, aus welchem Grund die Familie und die Polizei gerade ihm und nicht vielmehr dem behandelnden Arzt die Schuld am Tod des Mädchens gegeben haben sollen. Ferner gelingt es ihm nicht auf Beschwerdeebene plausibel dazulegen, weshalb er nach seiner Gefängnisflucht zu seinem Onkel gegangen war, obwohl ihn dieser zur Polizei gebracht und so seine Verhaftung initiiert hatte (vgl. Akten der Vorinstanz A18/15, F24, F44, F55, F56). Ebenso unverständlich ist, dass sich der Beschwerdeführer danach, trotz seiner Angst vor der Familie des Mädchens, wieder bei seiner Mutter aufhielt und sich somit ausgerechnet an den Ort begab, wo er zuvor bereits gesucht worden war. Zudem wäre er nach seiner Flucht kaum noch drei Monate lang bei seiner Mutter geblieben, wenn er tatsächlich Furcht vor Vergeltungsmassnahmen der Familie und der Polizei gehabt hätte. Der hiergegen in der Rechtmitteleingabe vorgebrachte Einwand des Beschwerdeführers, er habe nicht zu seinem Onkel und deshalb nur zu seiner Mutter zurückkehren können, überzeugt nicht, da er gemäss eigenen Angaben weitere Familienmitglieder und Freunde in seiner Heimat hat, die ihn hätten aufnehmen können.</w:t>
      </w:r>
    </w:p>
    <w:p>
      <w:r>
        <w:rPr>
          <w:b/>
        </w:rPr>
        <w:t>E. 4.6</w:t>
      </w:r>
    </w:p>
    <w:p>
      <w:r>
        <w:t>Insgesamt hat der Beschwerdeführer somit nichts vorgebracht, das geeignet wäre, die Flüchtlingseigenschaft glaubhaft zu machen. Die Vorinstanz hat den Massstab des Glaubhaftmachens auf den vorliegenden Fall korrekt angewendet und demnach das Asylgesuch zu Recht abgelehnt.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6.1</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Guinea dort mit beachtlicher Wahrscheinlichkeit einer nach Art. 3 EMRK oder Art. 1 FoK verbotenen Strafe oder Behandlung ausgesetzt wäre. Der Vollzug der Wegweisung ist zulässig.</w:t>
      </w:r>
    </w:p>
    <w:p>
      <w:r>
        <w:rPr>
          <w:b/>
        </w:rPr>
        <w:t>E. 6.2</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6.2.1</w:t>
      </w:r>
    </w:p>
    <w:p>
      <w:r>
        <w:t>Angesichts der heutigen Lage in Guinea kann nicht von einer Situation allgemeiner Gewalt oder von kriegerischen oder bürgerkriegsähnlichen Verhältnissen gesprochen werden, welche für den Beschwerdeführer bei einer Rückkehr eine konkrete Gefährdung darstellen würden. In den Akten finden sich auch keine konkreten Anhaltspunkte dafür, dass der mittlerweile volljährige Beschwerdeführer bei einer Rückkehr aus individuellen Gründen in eine existenzbedrohende Situation geraten würde, zumal er jung ist und mit seiner Mutter, seinem Onkel und seinen zwei Geschwistern über nahestehende Verwandte in Guinea verfügt.</w:t>
      </w:r>
    </w:p>
    <w:p>
      <w:r>
        <w:rPr>
          <w:b/>
        </w:rPr>
        <w:t>E. 6.2.2</w:t>
      </w:r>
    </w:p>
    <w:p>
      <w:r>
        <w:t>Es bleibt im Folgenden zu prüfen, ob allenfalls medizinische Gründe gegen den Vollzug der Wegweisung sprechen. Gemäss Praxis des Bundesverwaltungsgerichts lassen Gründe ausschliesslich medizinischer Natur den Wegweisungsvollzug im Allgemeinen nicht als unzumutbar erscheinen, es sei denn, die erforderliche Behandlung sei wesentlich und im Heimatland nicht erhältlich (vgl. BVGE 2009/2 E.9.3.2; EMARK 2003/24 E. 5b). Entsprechen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Dem Arztbericht vom 28. November 2016 ist zu entnehmen, dass der Beschwerdeführer seit dem 15. November 2016 in ärztlicher Behandlung ist. Die behandelnde Ärztin diagnostizierte eine mittelschwere bis schwere Depression und verschrieb dem Beschwerdeführer das Medikament J._______. Aus dem eingereichten Kurzbericht der PsychoSozialen Dienste vom 22. November 2016 geht hervor, dass die Auswirkungen einer Rückführung auf die psychische Gesundheit des Beschwerdeführers nicht absehbar seien, es müsse jedoch mit einer Akzentuierung der Symptomatik bis hin zur Suizidalität gerechnet werden. Zufolge der Berichte ist davon auszugehen, dass der Beschwerdeführer in seinem Heimatland auf eine ambulante Therapie mit entsprechender Medikation angewiesen ist. Gemäss den zutreffenden Ausführungen der Vorinstanz, welche die gesundheitlichen Vorbringen des Beschwerdeführers entgegen seiner Auffassung detailliert geprüft hat, kann eine ambulante Therapie in K._______ in der Einrichtung "L._______" durchgeführt werden. Die Vorinstanz weist ausserdem auf die Möglichkeit der medizinischen Rückkehrhilfe hin, welche sich auch auf Medikamente bezieht (vgl. Art. 75 der Asylverordnung 2 über Finanzierungsfragen vom 11. August 1999 [AsylV 2, SR 142.312]). Dass der Beschwerdeführer nach dem Gesagten bei oder nach der Rückkehr aus individuellen Gründen konkret gefährdet wäre, erscheint mithin nicht als wahrscheinlich. Der Vollzug der Wegweisung ist somit auch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das Gesuch um Gewährung der unentgeltlichen Prozessführung und der unentgeltlichen Rechtsverbeiständung unabhängig von der prozessualen Bedürftigkeit abzuweisen ist (Art. 65 Abs. 1 VwVG, Art. 110a AsylG).</w:t>
      </w:r>
    </w:p>
    <w:p>
      <w:r>
        <w:rPr>
          <w:b/>
        </w:rPr>
        <w:t>E. 8.2</w:t>
      </w:r>
    </w:p>
    <w:p>
      <w:r>
        <w:t>Bei diesem Ausgang sind die Verfahrenskosten von Fr. 600.- (Art. 1 - 3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