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E-1367/2013 vom 22. Januar 2014</w:t>
      </w:r>
    </w:p>
    <w:p>
      <w:r>
        <w:t>Bundesverwaltungsgericht, 2014-01-22, DE</w:t>
      </w:r>
    </w:p>
    <w:p>
      <w:r>
        <w:rPr>
          <w:b/>
        </w:rPr>
        <w:t xml:space="preserve">Quelle: </w:t>
      </w:r>
      <w:r>
        <w:t>https://mcp.opencaselaw.ch/entscheid/bvger_E-1367_2013</w:t>
      </w:r>
    </w:p>
    <w:p>
      <w:r>
        <w:t>FR: TAF E-1367/2013 du 22 janvier 2014</w:t>
      </w:r>
    </w:p>
    <w:p>
      <w:r>
        <w:t>IT: TAF E-1367/2013 del 22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so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2.4</w:t>
      </w:r>
    </w:p>
    <w:p>
      <w:r>
        <w:t>Gestützt auf Art. 111a Abs. 1 AsylG wurde vorliegend auf einen Schriftenwechsel verzichtet. Der Antrag auf Gewährung des Replikrechts wird damit hinfällig.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7. Februar 2013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 An der Beurteilung der konkreten Beschwerdevorbringen besteht kein schutzwürdiges Interesse mehr; in diesem Umfang ist die Beschwerde zugleich gegenstandslos geworden.</w:t>
      </w:r>
    </w:p>
    <w:p>
      <w:r>
        <w:rPr>
          <w:b/>
        </w:rPr>
        <w:t>E. 4</w:t>
      </w:r>
    </w:p>
    <w:p>
      <w:r>
        <w:t>Bei diesem Ausgang des Verfahrens sind keine Kosten zu erheben (Art. 63 VwVG). Der geleistete Kostenvorschuss ist zurückzuerstatten.</w:t>
      </w:r>
    </w:p>
    <w:p>
      <w:r>
        <w:rPr>
          <w:b/>
        </w:rPr>
        <w:t>E. 5</w:t>
      </w:r>
    </w:p>
    <w:p>
      <w:r>
        <w:t>Die Beschwerdeinstanz kann der ganz oder teilweise obsiegenden Partei von Amtes wegen oder auf Begehren eine Entschädigung für ihr erwachsene notwendige und verhältnismässig hohe Kosten zusprechen (Art. 64 Abs. 1 VwVG). Der Beschwerdeführer gilt insoweit als obsiegende Partei, als seinem Antrag auf Aufhebung der angefochtenen Verfügung stattzugeben ist. Demgegenüber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gegenstandslosen Verfahren ohne Zutun der Parteien richtet sich die Entschädigung aufgrund der Sachlage vor Eintritt des Erledigungsgrundes (Art. 15 i.V.m. Art. 5 Satz 2 VGKE). Die vorliegende Beschwerde ist aufgrund der ungeklärten Vorfälle in Sri Lanka durch Rückweisungsentscheid zu erledigen. Da keine gesicherten Erkenntnisse über die allgemeine Situation in Sri Lanka vorliegen, lässt sich die Sachlage und damit die prozessualen Erfolgsaussichten der Beschwerde auch im Zeitpunkt ihrer Einreichung nicht näher bestimmen. In Anwendung der gesetzlichen Bemessungsfaktoren und angesichts der besonderen Umstände erscheint eine Parteientschädigung von Fr. 1'600.- angemessen.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