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E-1365/2014 vom 25. April 2014</w:t>
      </w:r>
    </w:p>
    <w:p>
      <w:r>
        <w:t>Bundesverwaltungsgericht, 2014-04-25, DE</w:t>
      </w:r>
    </w:p>
    <w:p>
      <w:r>
        <w:rPr>
          <w:b/>
        </w:rPr>
        <w:t xml:space="preserve">Quelle: </w:t>
      </w:r>
      <w:r>
        <w:t>https://mcp.opencaselaw.ch/entscheid/bvger_E-1365_2014</w:t>
      </w:r>
    </w:p>
    <w:p>
      <w:r>
        <w:t>FR: TAF E-1365/2014 du 25 avril 2014</w:t>
      </w:r>
    </w:p>
    <w:p>
      <w:r>
        <w:t>IT: TAF E-1365/2014 del 25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des ablehnenden Entscheids im Wesentlichen aus, die Vorbringen des Beschwerdeführers hinsichtlich der Folgen der Haft im Oktober 2010 seien nicht hinreichend begründet. Obgleich ihm die Gelegenheit gegeben worden sei, seine Vorbringen zu substanziieren, habe er nicht angeben können, welches besondere Interesse die Behörden an seiner Person gehabt hätten, um ihn während mehr als zweieinhalb Jahren alle zwei Wochen zur Unterschrift zu zwingen. Eine solche Massnahme sei für die Behörden wenig ertragreich, zumal gemäss den Angaben des Beschwerdeführers bei beiden Festnahmen kein konkreter Verdacht gegen ihn bestanden habe. Des Weiteren seien die Darstellungen, wie er die Auflagen erfüllt habe, vage und stereotyp ausgefallen. Er habe lediglich mehrmals wiederholt, als "Falati" beschimpft und falsch angeschuldigt worden zu sein. In dieser Form könnten Vorbringen von jeder beliebigen Person geltend gemacht werden. Den Aussagen des Beschwerdeführers fehle es an Realkennzeichen; seine Ausführungen seien weder anschaulich, nachvollziehbar noch von persönlichen Wahrnehmungen und Betroffenheit geprägt. Somit sei unglaubhaft, dass er über mehrere Jahre behördlichen Massnahmen ausgesetzt gewesen sei, aufgrund derer er schliesslich dazu gezwungen gewesen wäre, seinen Heimatstaat zu verlassen. In diesem Zusammenhang sei zu schliessen, dass die behördlichen Suchen im August 2013 und nach seiner Ausreise aus asylfremden Gründen erfolgt seien. Die übrigen Vorbringen des Beschwerdeführers seien asylrechtlich nicht relevant. Der Begriff der Flüchtlingseigenschaft setze einen in zeitlicher und sachlicher Hinsicht genügend engen Kausalzusammenhang zwischen Verfolgung und Flucht voraus. Zwischen den Vorbringen aus der Zeit vor 2010 (vgl. insb. die geltend gemachten Inhaftierungen in den Jahren 2008 und 2010) und den Gründen, die ihn im September 2013 zur Ausreise veranlasst hätten, bestehe kein derartiger Zusammenhang. Die Vorbringen betreffend das beschränkte Stellenangebot im öffentlichen Dienst, den zu geringen Lohn in der Stellung als (...) und den Migrationsdruck als Gastarbeiter seien sodann auf die schlechten sozialen und wirtschaftlichen Gegebenheiten im Sudan zurückzuführen und als allgemeine Nachteile nicht asylrelevant.</w:t>
      </w:r>
    </w:p>
    <w:p>
      <w:r>
        <w:rPr>
          <w:b/>
        </w:rPr>
        <w:t>E. 5.2</w:t>
      </w:r>
    </w:p>
    <w:p>
      <w:r>
        <w:t>Dagegen bringt der Beschwerdeführer auf Beschwerdeebene insbesondere vor, er habe anlässlich der vorinstanzlichen Anhörung vom 27. Januar 2014 nicht die Möglichkeit erhalten, sich detailliert zu seinen Asylgründen zu äussern. Er sei nur während drei Stunden befragt und es seien ihm lediglich allgemeine Fragen gestellt worden. Dabei sei keine Zeit für Details und weitere Realkennzeichen geblieben. Er sei beispielsweise nicht gefragt worden, wie die Zelle ausgesehen habe, in der er festgehalten worden sei, oder wo sich das Büro befunden habe, bei dem er seine Unterschrift habe leisten müssen. Er habe keine widersprüchlichen Aussagen gemacht, sondern die Wahrheit zu Protokoll gegeben. Wenn das Gericht zum Schluss komme, seine beiden Befragungen liessen es nicht zu, sich ein Bild über die genauen Umstände und die Glaubhaftigkeit seiner Asylgründe zu machen, sei eine weitere Befragung anzuordnen, damit er seine Asylgründe detailliert darlegen könne. Er befürchte, im Falle einer Rückkehr in den Sudan als Staatsfeind angesehen, gefoltert und dafür hart bestraft zu werden, dass er der Pflicht zur Leistung der Unterschrift alle zwei Wochen nicht mehr nachgekommen sei und das Land illegal verlassen habe. Die Stellung des Asylgesuchs im Ausland werde die Behörden in ihrem Verdacht bestätigen.</w:t>
      </w:r>
    </w:p>
    <w:p>
      <w:r>
        <w:rPr>
          <w:b/>
        </w:rPr>
        <w:t>E. 5.3</w:t>
      </w:r>
    </w:p>
    <w:p>
      <w:r>
        <w:t>Nach Prüfung der Akten bestätigt das Bundesverwaltungsgericht den Entscheid der Vorinstanz betreffend Flüchtlingseigenschaft und Asyl. Zunächst ist festzustellen, dass sich der Beschwerdeführer anlässlich der Anhörung vom 27. Januar 2014 eingehend zu seinen Asylgründen äussern konnte. Zu Beginn der Befragung wurde ihm Gelegenheit gegeben, seine Asylgründe in freier Rede darzulegen (vgl. die vorinstanzliche Akte A9/13 F19 S. 4 f.). Nach Abschluss seiner Schilderung und einer Pause wurde er gefragt, ob er seine Darstellung ergänzen wolle, woraufhin er bemerkte, er glaube, er habe alles gesagt und stelle sich nun den Fragen des Sachbearbeiters (vgl. A9/13 F21 S. 6). In der Folge wurden ihm zahlreiche konkrete Fragen zu seinen Asylvorbringen gestellt. Abschliessend wurde der Beschwerdeführer noch zweimal gefragt, ob er alles für sein Asylgesuch Wesentliche habe sagen können, was er bejahte (vgl. A9/13 F77 f. S. 11). Damit erweist sich der Sachverhalt als richtig und vollständig erstellt. Gestützt darauf hat das BFM zutreffend festgestellt, der Beschwerdeführer habe nicht erklären können, welches besondere Interesse die Behörden an seiner Person gehabt haben sollten, um ihn nach der Entlassung aus der kurzen Haft im Oktober 2010 mehr als zweieinhalb Jahre lang zur Abgabe seiner Unterschrift zu zwingen, obgleich bereits anlässlich der Festnahme kein konkreter Verdacht gegen ihn bestanden habe. Selbst wenn seine diesbezüglichen Vorbringen zu seinen Gunsten geglaubt werden, so erweisen sich die verhängte Massnahme und die in diesem Zusammenhang erlittenen Nachteile bei der Unterschriftsleistung (Beleidigungen) mangels Intensität als nicht asylrelevant. Der Beschwerdeführer brachte denn auch vor, die schlimmste Erfahrung bei der Leistung der Unterschrift sei der Vorwurf gewesen, ein "Fulani" und damit ein Eindringling aus Westafrika zu sein (vgl. A9/13 F52 S. 9). Sodann wurde gegen ihn kein Strafverfahren eingeleitet (vgl. A9/13 F67 S. 10) und er gab an, abgesehen von den geltend gemachten Vorfällen keine Probleme mit den sudanesischen Behörden gehabt zu haben (vgl. A9/13 F68 S. 10). Unter diesen Umständen ist nicht davon auszugehen, dass der Beschwerdeführer einzig aufgrund der Verweigerung der Unterschrift ab Juli 2013 bei einer Wiedereinreise im Sudan erhebliche Nachteile im Sinne des AsylG zu gewärtigen hätte und als Staatsfeind angesehen würde. Daran vermögen auch die behördlichen Erkundigungen nach dem Beschwerdeführer, deren Motiv unklar ist, nichts zu ändern. Inwiefern der Weggang ins Ausland und das Einreichen eines Asylgesuchs in der Schweiz für sich allein eine Verfolgung im Sinne des AsylG nach sich ziehen könnte, ist überdies nicht ersichtlich. Betreffend die übrigen Vorbringen des Beschwerdeführers kann auf die Erwägung II/2 der angefochtenen Verfügung verwiesen werden, die vollumfänglich zu bestätigen ist. Hinsichtlich des fehlenden Kausalzusammenhangs zwischen den Inhaftierungen in den Jahren 2008 und 2010 ist einzig ergänzend zu bemerken, dass der Beschwerdeführer explizit angab, die Verhaftung im Jahre 2008 habe nach der Freilassung keinerlei Konsequenzen gehabt und der bei der Verhaftung im Jahre 2010 geäusserte Verdacht einer Zugehörigkeit zu den Rebellen habe sich nicht erhärtet (vgl. A9/13 F33 und F35 ff. S. 7). Zusammenfassend hat die Vorinstanz zu Recht das Bestehen der Flüchtlingseigenschaft verneint und das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Sudan ist demnach unter dem Aspekt von Art. 5 AsylG rechtmässig. Sodann ergeben sich weder aus dessen Aussagen noch aus den Akten Anhaltspunkte dafür, dass er für den Fall einer Ausschaffung in den Sudan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Indes ist mit überwiegender Wahrscheinlichkeit nicht davon auszugehen, der Beschwerdeführer werde nach der Rückkehr in den Sudan allein aufgrund seiner Ethnie und der Asylgesuchstellung in der Schweiz in menschenrechtswidriger Weise festgehalten und bestraft. Auch die allgemeine Menschenrechtssituation im Sudan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Hinsichtlich der Zumutbarkeit des Wegweisungsvollzugs kann auf die Erwägung III/2 der angefochtenen Verfügung verwiesen werden, der sich das Bundesverwaltungsgericht vollumfänglich anschliesst. Der Beschwerdeführer macht keine individuellen Vollzugshindernisse geltend, ist gemäss eigenen Aussagen gesund (vgl. A9/13 F71 S. 11), verfügt über eine universitäre Ausbildung und Berufserfahrung und hat im Sudan ein verwandtschaftliches Beziehungsnetz. Der Vollzug der Wegweisung erweist sich damit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Zu deren Bezahlung wird der am 15. April 2014 einbezahlte Kostenvorschuss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