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E-1364/2018 vom 17. März 2020</w:t>
      </w:r>
    </w:p>
    <w:p>
      <w:r>
        <w:t>Bundesverwaltungsgericht, 2020-03-17, FR</w:t>
      </w:r>
    </w:p>
    <w:p>
      <w:r>
        <w:rPr>
          <w:b/>
        </w:rPr>
        <w:t xml:space="preserve">Quelle: </w:t>
      </w:r>
      <w:r>
        <w:t>https://mcp.opencaselaw.ch/entscheid/bvger_E-1364_2018</w:t>
      </w:r>
    </w:p>
    <w:p>
      <w:r>
        <w:t>FR: TAF E-1364/2018 du 17 mars 2020</w:t>
      </w:r>
    </w:p>
    <w:p>
      <w:r>
        <w:t>IT: TAF E-1364/2018 del 17 marzo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1.3</w:t>
      </w:r>
    </w:p>
    <w:p>
      <w:r>
        <w:t>La présente procédure est soumise à la loi sur l'asile, dans sa teneur antérieure au 1er mars 2019 (cf. al. 1 des dispositions transitoires de la modification du 25 septembre 2015, entrée en vigueur le 1er mars 2019).</w:t>
      </w:r>
    </w:p>
    <w:p>
      <w:r>
        <w:rPr>
          <w:b/>
        </w:rPr>
        <w:t>E. 1.4</w:t>
      </w:r>
    </w:p>
    <w:p>
      <w:r>
        <w:t>Le recourant a qualité pour recourir (art. 48 al. 1 PA). Présenté dans la forme (art. 52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En l'espèce, le Tribunal relève tout d'abord que les déclarations du recourant diffèrent s'agissant de la fin de sa scolarité. Lors de l'audition sur les données personnelles, il a indiqué avoir achevé son cursus scolaire de douze ans par un examen de maturité (« examen matric ») qui aurait été sanctionné par une note de 0.6 (cf. procès-verbal de l'audition sur les données personnelles, R 1.17.04). Lors de la seconde audition, la note communiquée - 0.4 - était différente (cf. procès-verbal de l'audition sur les motifs d'asile, R46).</w:t>
      </w:r>
    </w:p>
    <w:p>
      <w:r>
        <w:rPr>
          <w:b/>
        </w:rPr>
        <w:t>E. 3.1.2</w:t>
      </w:r>
    </w:p>
    <w:p>
      <w:r>
        <w:t>S'agissant de la période suivant la fin de sa scolarité, le recourant a livré deux versions fort divergentes des événements. Une juxtaposition des deux versions permet de relever les antinomies suivantes : a. Dans une première version, livrée lors de l'audition sur les données personnelles, le requérant serait retourné à son domicile en août 2011 après sa douzième année de scolarité à F._______ et y serait resté durant deux mois avant de retourner à F._______ en octobre 2011 ; il aurait peu après été affecté à une succursale du garage du gouvernement, à G._______, où il serait entré en conflit avec son supérieur ; il aurait été sanctionné par l'obligation de réaliser des travaux lourds - creuser des tranchées - et par la privation de toutes vacances ; par la suite, en février 2013, n'y pouvant plus, il serait rentré chez lui sans y être autorisé, serait revenu à G._______ en avril 2013, aurait à nouveau été sanctionné et serait une seconde fois rentré à son domicile sans autorisation en juillet 2013 ; sa mère aurait été emprisonnée au début de l'année 2014 (cf. procès-verbal de l'audition sur les données personnelles, ch. 7.01) ; b. Dans une seconde version, livrée lors de l'audition sur les motifs d'asile, le requérant serait retourné à son domicile en août 2011 après sa douzième année de scolarité à F._______ et y serait resté durant un mois et deux semaines avant de retourner à F._______ en octobre 2011 ; il aurait peu après été affecté à G._______ pour y travailler et aider des plombiers dans leur mission consistant notamment en des réparations de systèmes d'arrosage servant à irriguer des champs de tomates. Ne recevant pas sa solde et le travail devenant difficile, il aurait décidé, en août 2012, de retourner à son domicile sans autorisation, mais aurait réintégré son poste dès le mois de septembre suite à l'emprisonnement de sa mère afin d'obtenir sa libération ; il aurait alors repris son travail à G._______, sans recevoir de solde, jusqu'au mois de septembre 2013, date à laquelle il aurait obtenu un congé de dix jours pour effectuer les démarches en vue de l'obtention de documents d'identité ; cette période écoulée, il aurait décidé une seconde fois de ne pas réintégrer son lieu d'affectation, entraînant à nouveau l'arrestation de sa mère (cf. procès-verbal de l'audition sur les motifs d'asile, R50 à R57, R63, R67 à R76, R86 à R99, R100 à R 109).</w:t>
      </w:r>
    </w:p>
    <w:p>
      <w:r>
        <w:rPr>
          <w:b/>
        </w:rPr>
        <w:t>E. 3.1.3</w:t>
      </w:r>
    </w:p>
    <w:p>
      <w:r>
        <w:t>Enfin, le Tribunal relève que la prétendue raison l'ayant amené à précipiter sa fuite d'Erythrée en décembre 2014, à savoir un courrier lui demandant de « porter l'arme dans la région », n'apparaît que dans l'audition sur les motifs d'asile. Cet élément n'avait aucunement été évoqué lors de l'audition sur les données personnelles, sous la rubrique « Gesuchgründe » (« motifs de la demande »). Au-delà du fait que A._______ n'a jamais exposé en quoi cette lettre et l'obligation qu'elle contient de porter une arme pouvaient entraîner une crainte fondée d'une persécution future, il convient de rappeler que si les déclarations au centre d'enregistrement n'ont qu'une valeur probatoire restreinte, il n'en demeure pas moins que des motifs d'asile invoqués par la suite comme motifs principaux ne peuvent être tenus pour vraisemblables lorsqu'ils n'ont pas été évoqués, au moins dans les grandes lignes, lors de l'audition sommaire (cf. arrêt du Tribunal D-256/2017 du 3 avril 2019, p. 7 et les références citées).</w:t>
      </w:r>
    </w:p>
    <w:p>
      <w:r>
        <w:rPr>
          <w:b/>
        </w:rPr>
        <w:t>E. 3.1.4</w:t>
      </w:r>
    </w:p>
    <w:p>
      <w:r>
        <w:t>Pour le surplus, il convient de renvoyer aux considérants de la décision attaquée dès lors que ceux-ci sont suffisamment explicites et motivés (cf. art. 109 al. 3 LTF, par renvoi de l'art. 4 PA).</w:t>
      </w:r>
    </w:p>
    <w:p>
      <w:r>
        <w:rPr>
          <w:b/>
        </w:rPr>
        <w:t>E. 3.2</w:t>
      </w:r>
    </w:p>
    <w:p>
      <w:r>
        <w:t>Au vu des incohérences et incompatibilités exposées précédemment, portant sur des points essentiels, le Tribunal retient, à l'instar du SEM, que le récit présenté par le recourant dans le cadre de sa procédure d'asile n'est pas crédible. Même à supposer qu'il eût été dans un certain état de fatigue et de confusion lors de l'audition sur les données personnelles intervenue peu après son arrivée en Suisse, cela ne saurait expliquer à satisfaction les nombreux éléments d'invraisemblance précités. Il sied tout particulièrement de souligner que les divergences portent sur des éléments essentiels du récit, à savoir notamment l'activité exercée à G._______ à compter de la fin de l'année 2011, la ou les raison(s) ayant justifié son retour à domicile sans autorisation, respectivement son retour à G._______. Même perturbé et fatigué, il n'est pas concevable de ne pas se souvenir de faits aussi centraux et d'en faire des descriptions si différentes.</w:t>
      </w:r>
    </w:p>
    <w:p>
      <w:r>
        <w:rPr>
          <w:b/>
        </w:rPr>
        <w:t>E. 3.3</w:t>
      </w:r>
    </w:p>
    <w:p>
      <w:r>
        <w:t>En conclusion, eu égard à l'invraisemblance des propos tenus par A._______, le Tribunal ne peut retenir que le recourant était dans le collimateur des autorités et était exposé à un risque de persécution au moment de son départ du pays, le (...) décembre 2014.</w:t>
      </w:r>
    </w:p>
    <w:p>
      <w:r>
        <w:rPr>
          <w:b/>
        </w:rPr>
        <w:t>E. 4.1</w:t>
      </w:r>
    </w:p>
    <w:p>
      <w:r>
        <w:t>Il convient encore d'examiner si celui-ci, en raison de son seul départ illégal du pays, peut se voir reconnaître la qualité de réfugié, à l'exclusion de l'asile, pour des motifs subjectifs survenus après la fuite (cf. art. 54 LAsi).</w:t>
      </w:r>
    </w:p>
    <w:p>
      <w:r>
        <w:rPr>
          <w:b/>
        </w:rPr>
        <w:t>E. 4.2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le recourant, comme relevé précédemment (cf. ci-dessus, consid. 3), n'a pas rendu vraisemblable les raisons de sa fuite du pays. Aucun autre élément du dossier ne le fait en outre apparaître comme une personne à problèmes pour les autorités.</w:t>
      </w:r>
    </w:p>
    <w:p>
      <w:r>
        <w:rPr>
          <w:b/>
        </w:rPr>
        <w:t>E. 4.4</w:t>
      </w:r>
    </w:p>
    <w:p>
      <w:r>
        <w:t>Par ailleurs, la question d'un éventuel enrôlement au service national après le retour de l'intéressé en Erythrée, qui l'exposerait à des traitements prohibés par l'art. 3 CEDH, relève de l'examen relatif à l'illicéité, respectivement à l'inexigibilité de l'exécution du renvoi (cf. arrêt précité du Tribunal D-7898/2015 du 30 janvier 2015, consid. 5.1) et n'a donc pas à être examinée à ce stade.</w:t>
      </w:r>
    </w:p>
    <w:p>
      <w:r>
        <w:rPr>
          <w:b/>
        </w:rPr>
        <w:t>E. 4.5</w:t>
      </w:r>
    </w:p>
    <w:p>
      <w:r>
        <w:t>Il s'ensuit que le recours, en tant qu'il conteste le refus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7.5</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(arrêt précité, consid. 5.2.2). Les soldats peuvent, en outre, être utilisés comme main-d'oeuvre pour toutes sortes de travaux utiles à l'économie nationale, sans lien avec les tâches proprement militaires.</w:t>
      </w:r>
    </w:p>
    <w:p>
      <w:r>
        <w:rPr>
          <w:b/>
        </w:rPr>
        <w:t>E. 7.6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crasse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7.7</w:t>
      </w:r>
    </w:p>
    <w:p>
      <w:r>
        <w:t>En conclusion, le risque d'être convoqué par l'autorité militaire et d'être tenu d'accomplir le service national n'est pas en soi de nature à rendre illicite l'exécution du renvoi en Erythrée.</w:t>
      </w:r>
    </w:p>
    <w:p>
      <w:r>
        <w:rPr>
          <w:b/>
        </w:rPr>
        <w:t>E. 7.8</w:t>
      </w:r>
    </w:p>
    <w:p>
      <w:r>
        <w:t>En l'espèce, le Tribunal constate que le recourant n'a pas rendu vraisemblable la forte probabilité d'un risque de traitement contraire au droit international ; dès lors, l'exécution du renvoi, en cas de retour volontaire, ne transgresse aucun engagement de la Suisse relevant du droit international, de sorte qu'elle s'avère licite (cf.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et la jurisprudence citée).</w:t>
      </w:r>
    </w:p>
    <w:p>
      <w:r>
        <w:rPr>
          <w:b/>
        </w:rPr>
        <w:t>E. 8.2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du Tribunal D-2311/2016 du 17 août 2017, publié comme arrêt de référence, consid. 16). Le seul risque d'être incorporé dans le service national ne peut pas être considéré en soi comme un obstacle à l'exécution du renvoi au sens de l'art. 83 al. 4 LEI (cf. ATAF 2018 VI/4 précité, consid. 6.2).</w:t>
      </w:r>
    </w:p>
    <w:p>
      <w:r>
        <w:rPr>
          <w:b/>
        </w:rPr>
        <w:t>E. 8.3</w:t>
      </w:r>
    </w:p>
    <w:p>
      <w:r>
        <w:t>En l'espèce, il ne ressort du dossier aucun élément défavorable dont on pourrait inférer que l'exécution du renvoi impliquerait une mise en danger concrète du recourant. A cet égard, le Tribunal relève tout particulièrement qu'il est jeune, en bonne santé (cf. procès-verbal de l'audition sur les données personnelles, ch. 8.02) et que rien n'indique qu'il ne puisse pas compter sur un réseau familial en Erythrée, lequel est notamment composé de sa mère, de sa compagne, D._______, ainsi que de ses demi-soeurs, de ses oncles et tantes (cf. procès-verbal de l'audition sur les motifs d'asile, R18), lui permettant d'assurer sa subsistance.</w:t>
      </w:r>
    </w:p>
    <w:p>
      <w:r>
        <w:rPr>
          <w:b/>
        </w:rPr>
        <w:t>E. 8.4</w:t>
      </w:r>
    </w:p>
    <w:p>
      <w:r>
        <w:t>Pour ces motifs, l'exécution du renvoi doit être considérée comme raisonnablement exigible.</w:t>
      </w:r>
    </w:p>
    <w:p>
      <w:r>
        <w:rPr>
          <w:b/>
        </w:rPr>
        <w:t>E. 9</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mal fondé, est rejeté.</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 RS 173.320.2). Toutefois, le recourant ayant été mis au bénéfice de l'assistance judiciaire totale par décision incidente du 29 mars 2018 (cf. ci-dessus, let. G) et aucun élément ne laissant supposer une évolution favorable de sa situation financière, il n'est pas perçu de frais de procédure (cf. art. 65 al. 1 PA).</w:t>
      </w:r>
    </w:p>
    <w:p>
      <w:r>
        <w:rPr>
          <w:b/>
        </w:rPr>
        <w:t>E. 11.2</w:t>
      </w:r>
    </w:p>
    <w:p>
      <w:r>
        <w:t>Une indemnité à titre d'honoraires et de débours est accordée à la mandataire d'office (cf. art. 8 à 11 FITAF, applicables par analogie conformément à l'art. 12 FITAF). En l'absence de décompte de prestations, elle est fixée sur la base du dossier (cf. art. 8 par. 2 FITAF et 14 FITAF) et ainsi arrêtée à un montant de 300 francs, en soulignant que la mandataire n'est intervenue en la cause qu'après le dépôt du recours.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