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E-1364/2013 vom 20. März 2013</w:t>
      </w:r>
    </w:p>
    <w:p>
      <w:r>
        <w:t>Bundesverwaltungsgericht, 2013-03-20, DE</w:t>
      </w:r>
    </w:p>
    <w:p>
      <w:r>
        <w:rPr>
          <w:b/>
        </w:rPr>
        <w:t xml:space="preserve">Quelle: </w:t>
      </w:r>
      <w:r>
        <w:t>https://mcp.opencaselaw.ch/entscheid/bvger_E-1364_2013</w:t>
      </w:r>
    </w:p>
    <w:p>
      <w:r>
        <w:t>FR: TAF E-1364/2013 du 20 mars 2013</w:t>
      </w:r>
    </w:p>
    <w:p>
      <w:r>
        <w:t>IT: TAF E-1364/2013 del 20 marzo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Beschwerdeschrift hat unter anderem die Unterschrift des Beschwerdeführers oder seines Vertreters zu enthalten (Art. 52 Abs. 1 VwVG). Die vorliegende Beschwerde enthält zwar keine Unterschrift, aber in Anbetracht der Praxis der vormaligen Schweizerischen Asylrekurskommission (ARK), welche Eingaben auch ohne eigentliche Unterschrift als genügend akzeptierte, sofern diese nach den Umständen einem individuellen Beschwerdeführer klar zugeordnet werden konnten (vgl. Entscheidungen und Mitteilungen der Schweizerischen Asylrekurskommission [EMARK] 2003 Nr. 16), und angesichts des Umstands, dass vorliegend die Personalien des Beschwerdeführers sowie die Verfahrensnummer des BFM in der Eingabe aufgeführt sind, rechtfertigt es sich, auf die Ansetzung einer Verbesserungsfrist zu verzichten. Da es sich um eine sogenannte Laienbeschwerde handelt, an die keine hohen formellen Anforderungen zu stellen sind, ist zugunsten des Beschwerdeführers auf die insoweit frist- und formgerecht eingereichte Beschwerde einzutreten (Art. 108 Abs. 2 AsylG, Art.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das Asylgesuch auf seine Begründetheit zu überprüfen (Art. 32- 35 AsylG), ist die Beurteilungskompetenz der Beschwerdeinstanz grundsätzlich auf die Frage beschränkt, ob die Vorinstanz zu Recht auf das Asylgesuch nicht eingetreten ist (vgl. BVGE 2011/9 E. 5 S. 116). Im Falle des Nichteintretens auf ein Asylgesuch gemäss Art. 32 Abs. 2 Bst. a AsylG ist indessen im Rahmen einer summarischen Prüfung über das Nichtbestehen der Flüchtlingseigenschaft abschliessend materiell zu entscheiden, weshalb im diesbezüglichen Beschwerdeverfahren ungeachtet der vorzunehmenden Überprüfung eines formellen Nichteintretensentscheides auch die Flüchtlingseigenschaft Prozessgegenstand bildet (vgl. BVGE 2007/8). Bezüglich der Wegweisung und des Vollzuges ist die Beurteilungskompetenz nicht beschränkt, da die Vorinstanz dies materiell geprüft hat.</w:t>
      </w:r>
    </w:p>
    <w:p>
      <w:r>
        <w:rPr>
          <w:b/>
        </w:rPr>
        <w:t>E. 2.2</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3.1</w:t>
      </w:r>
    </w:p>
    <w:p>
      <w:r>
        <w:t>Der Beschwerdeführer gab an, am (...) geboren und somit zum Zeitpunkt der Befragungen und des Asylentscheides noch minderjährig gewesen zu sein. Damit würde er grundsätzlich den Normen des Übereinkommens vom 20. November 1989 über die Rechte der Kinder (KRK, SR 0.107) unterliegen.</w:t>
      </w:r>
    </w:p>
    <w:p>
      <w:r>
        <w:rPr>
          <w:b/>
        </w:rPr>
        <w:t>E. 3.2</w:t>
      </w:r>
    </w:p>
    <w:p>
      <w:r>
        <w:t>Gemäss Rechtsprechung ist bei der Prüfung der Altersangaben einer minderjährigen Person zunächst von allenfalls abgegebenen Identitätspapieren auszugehen, die objektive Beweislast für die behauptete Minderjährigkeit trägt die asylsuchende Person (vgl. EMARK 2004 Nr. 30). Bei Fehlen rechtsgenüglicher Identitätsausweise kann auch auf wissenschaftliche Methoden abgestellt werden (Art. 7 Abs. 1 der Asylverordnung 1 vom 11. August 1999 [AsylV 1, SR 142.311]).</w:t>
      </w:r>
    </w:p>
    <w:p>
      <w:r>
        <w:rPr>
          <w:b/>
        </w:rPr>
        <w:t>E. 3.3</w:t>
      </w:r>
    </w:p>
    <w:p>
      <w:r>
        <w:t>Das mittels Handknochenanalyse ermittelte Alter des Beschwerdeführers liegt bei 19 Jahren. Die Vorinstanz stellte ihre Ausführungen zum Alter indessen nicht nur auf dieses Ergebnis ab, sondern setzte sich insbesondere auch mit seinen diesbezüglichen Vorbringen, seinem Auftreten und Aussehen sowie mit den Gesamtumständen auseinander. Die diesbezüglichen Erwägungen des Bundesamtes sind nicht zu beanstanden und werden in der Beschwerde auch nicht in Frage gestellt. Das BFM ging somit zu Recht von der Volljährigkeit des Beschwerdeführers aus.</w:t>
      </w:r>
    </w:p>
    <w:p>
      <w:r>
        <w:rPr>
          <w:b/>
        </w:rPr>
        <w:t>E. 4.1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 Entschuldbare Gründe liegen vor, wenn die asylsuchende Person glaubhaft macht, dass sie ohne ihre im Heimatland zurückgelassenen Papiere in die Schweiz gereist ist, und sich umgehend und ernsthaft darum bemüht, die zurückgelassenen Papiere innert Frist zu beschaffen (vgl. BVGE 2010/2).</w:t>
      </w:r>
    </w:p>
    <w:p>
      <w:r>
        <w:rPr>
          <w:b/>
        </w:rPr>
        <w:t>E. 4.2</w:t>
      </w:r>
    </w:p>
    <w:p>
      <w:r>
        <w:t>Die Nichtabgabe von Reisepapieren im Sinne von Art. 32 Abs. 2 Bst. a AsylG innerhalb von 48 Stunden nach Einreichung des Asylgesuches ist vorliegend unbestritten. In der Rechtsmitteleingabe äussert sich der Beschwerdeführer nicht zu den diesbezüglichen vorinstanzlichen Erwägungen, sondern wiederholt nur, er sei in seinem Heimatland in Gefahr. Er macht keinerlei Anstalten, Identitätsdokumente oder seine Geburtsurkunde zu beschaffen oder Kontakt zu seinem angeblich einzigen Freund im Heimatdorf aufzunehmen. Das Bundesverwaltungsgericht gelangt in Übereinstimmung mit der Vorinstanz zum Schluss, dass keine entschuldbaren Gründe vorliegen, die es dem Beschwerdeführer verunmöglicht hätten, den Behörden Reise- oder Identitätsdokumente einzureichen. Es kann deshalb auf die zutreffende Begründung des BFM verwiesen werden.</w:t>
      </w:r>
    </w:p>
    <w:p>
      <w:r>
        <w:rPr>
          <w:b/>
        </w:rPr>
        <w:t>E. 4.3</w:t>
      </w:r>
    </w:p>
    <w:p>
      <w:r>
        <w:t>Der Beschwerdeführer hält auch den nachvollziehbaren Erwägungen der Vorinstanz, wonach er die Flüchtlingseigenschaft offensichtlich nicht erfülle, argumentativ nichts entgegen, sondern wiederholt in knappen Worten einzig seine bisherigen Äusserungen. Die Prüfung der Akten ergibt, dass das BFM zutreffend ausführte, die geschilderte Hilfesuche bei der Polizei ohne Erwähnung des verschwundenen Bruders und die angeblich gleichgültige Reaktion der Beamten könnten nicht geglaubt werden; es qualifizierte die Verfolgungsvorbringen zu Recht als unglaubhaft. Das Bundesamt hat die Flüchtlingseigenschaft somit zu Recht verneint, zusätzliche Abklärungen zur Feststellung der Flüchtlingseigenschaft oder eines Wegweisungsvollzugshindernisses waren nicht vorzunehmen.</w:t>
      </w:r>
    </w:p>
    <w:p>
      <w:r>
        <w:rPr>
          <w:b/>
        </w:rPr>
        <w:t>E. 4.4</w:t>
      </w:r>
    </w:p>
    <w:p>
      <w:r>
        <w:t>Zusammenfassend ist festzustellen, dass die Vorinstanz zu Recht gestützt auf Art. 32 Abs. 2 Bst. a AsylG auf das Asylgesuch des Beschwerdeführers nicht eingetreten ist.</w:t>
      </w:r>
    </w:p>
    <w:p>
      <w:r>
        <w:rPr>
          <w:b/>
        </w:rPr>
        <w:t>E. 5</w:t>
      </w:r>
    </w:p>
    <w:p>
      <w:r>
        <w:t>Tritt das Bundesamt auf ein Asylgesuch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In Belarus herrscht keine Situation allgemeiner Gewalt. Der Beschwerdeführer macht keine individuellen Gründe geltend, welche auf eine konkrete Gefährdung bei einer Rückkehr schliessen lassen würden. Er ist jung und gesund und hat bisher sein gesamtes Leben in Belarus verbracht. Der Vollzug der Wegweisung erweist sich damit auch als zumutbar.</w:t>
      </w:r>
    </w:p>
    <w:p>
      <w:r>
        <w:rPr>
          <w:b/>
        </w:rPr>
        <w:t>E. 6.4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