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E-135/2008 vom 4. Oktober 2011</w:t>
      </w:r>
    </w:p>
    <w:p>
      <w:r>
        <w:t>Bundesverwaltungsgericht, 2011-10-04, DE</w:t>
      </w:r>
    </w:p>
    <w:p>
      <w:r>
        <w:rPr>
          <w:b/>
        </w:rPr>
        <w:t xml:space="preserve">Quelle: </w:t>
      </w:r>
      <w:r>
        <w:t>https://mcp.opencaselaw.ch/entscheid/bvger_E-135_2008</w:t>
      </w:r>
    </w:p>
    <w:p>
      <w:r>
        <w:t>FR: TAF E-135/2008 du 4 octobre 2011</w:t>
      </w:r>
    </w:p>
    <w:p>
      <w:r>
        <w:t>IT: TAF E-135/2008 del 4 ottobre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dem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stützte seine ablehnende Verfügung darauf, dass es sich bei den vom Beschwerdeführer geltend gemachten Verfolgungshandlungen um Taten von Privaten handle, die nur asylrelevant seien, wenn der Staat seiner Schutzpflicht nicht nachkomme oder nicht in der Lage sei, Schutz zu gewähren. Das BFM führte weiter aus, die nationalen und internationalen Schutzorgane im Kosovo seien in der Lage und willens, die Einwohner Kosovos zu schützen, sowohl gegen kriminelle Personen als auch gegen Gruppen wie die Albanische Volksarmee. Der Beschwerdeführer habe es jedoch bezüglich beider von ihm geschilderten Vorfälle unterlassen, Anzeige zu erstatten.</w:t>
      </w:r>
    </w:p>
    <w:p>
      <w:r>
        <w:rPr>
          <w:b/>
        </w:rPr>
        <w:t>E. 4.2</w:t>
      </w:r>
    </w:p>
    <w:p>
      <w:r>
        <w:t>Der Beschwerdeführer führt diesbezüglich in seiner Beschwerdeeingabe aus, im Kosovo existiere keine rechtsstaatliche Ordnung, die den Bürgern Schutz gewähren würde. Die internationalen Sicherheits- und Justizorgane seien nicht in der Lage, genügend Schutz für die ganze Bevölkerung zu garantieren. Eine Anzeige hätte ihm deshalb nichts genützt, sondern ihn der Rache ausgesetzt.</w:t>
      </w:r>
    </w:p>
    <w:p>
      <w:r>
        <w:rPr>
          <w:b/>
        </w:rPr>
        <w:t>E. 5</w:t>
      </w:r>
    </w:p>
    <w:p>
      <w:r>
        <w:t>Das Bundesverwaltungsgericht gelangt nach Prüfung der Akten zum Schluss, dass das BFM die Vorbringen des Beschwerdeführers im Zusammenhang mit den angeführten Übergriffen von privaten Dritten zu Recht und mit zutreffender Begründung als nicht asylrelevant erachtete.</w:t>
      </w:r>
    </w:p>
    <w:p>
      <w:r>
        <w:rPr>
          <w:b/>
        </w:rPr>
        <w:t>E. 5.1</w:t>
      </w:r>
    </w:p>
    <w:p>
      <w:r>
        <w:t>Nach den Erkenntnissen des Bundesverwaltungsgerichts gehen die für die Sicherheit im Kosovo zuständigen nationalen und internationalen Behörden - namentlich UNMIK (United Nations Interim Administration Mission in Kosovo), EULEX (European Union Rule of Law Mission) die kosovarische Polizei (Kosovo Police Service) und die multinationale militäri­sche Formation (Kosovo Force, KFOR) - im Rahmen ihrer Möglichkeiten systematisch gegen Bedrohungen und Übergriffe Dritter vor. Obwohl die Sicherheitslage und die Umsetzung des Rechtsstaatsprinzips im Kosovo westeuropäischen Standards noch nicht zu genügen vermag, ist doch festzuhalten, dass sich die Lage insbesondere nach der Unabhängigkeit Kosovos im Februar 2008 verbessert hat. Insbesondere die kosovarische Polizei wird als verhältnismässig effektiv beschrieben, auch wenn es ihr an Mitteln zur Untersuchung komplexer Verbrechen fehlt (European Commission, Kosovo 2010 Progress Report, 9. November 2010, S. 53 ff.; International Crisis Group, The Rule of Law in Independent Kosovo, 19. Mai 2010, S. 5 ff.). Obwohl das Justizsystem als schwach beschrieben wird - Gründe dafür sind vor allem die zu geringe Anzahl und die schlechte Entlohnung der Richter und Ankläger sowie die grosse Anzahl pendenter Fälle - ist die Situation im Bereich des Strafrechts offenbar weniger gravierend, so dass die Justiz in der Lage ist, Kriminalfälle zu behandeln (International Crisis Group, The Rule of Law in Independent Kosovo, 19. Mai 2010, S. 12). Insoweit kann zum heutigen Zeitpunkt entgegen der in der Beschwerdeschrift geäusserten Ansicht vom Schutzwillen und auch von einer weitgehenden Schutzfähigkeit der im Kosovo tätigen nationalen und internationalen Sicherheitsbehörden ausgegangen werden.</w:t>
      </w:r>
    </w:p>
    <w:p>
      <w:r>
        <w:rPr>
          <w:b/>
        </w:rPr>
        <w:t>E. 5.2</w:t>
      </w:r>
    </w:p>
    <w:p>
      <w:r>
        <w:t>In Bezug auf die konkrete Situation des Beschwerdeführers ist zudem festzustellen, dass dieser nicht im überwiegend von Personen serbischer Ethnie bewohnten Norden Kosovos lebte und damit als Person albanischer Ethnie weder national noch regional einer Minderheit angehört. Damit ist er auch nicht von der zweifellos noch immer vorhandenen Schlechterstellung und Diskriminierungen von Minderheiten betroffen. Zudem dürften seit der Unabhängigkeit des Kosovo auch die Rekrutierungstätigkeiten von Gruppen wie der Albanischen Volksarmee stark zurückgegangen sein, womit dem Beschwerdeführer von dieser Seite von vornherein keine Gefahr mehr droht.</w:t>
      </w:r>
    </w:p>
    <w:p>
      <w:r>
        <w:rPr>
          <w:b/>
        </w:rPr>
        <w:t>E. 5.3</w:t>
      </w:r>
    </w:p>
    <w:p>
      <w:r>
        <w:t>Damit hat das BFM zu Recht die Flüchtlingseigenschaft des Beschwerdeführers nicht anerkannt und sein Gesuch um Asyl abgewiesen.</w:t>
      </w:r>
    </w:p>
    <w:p>
      <w:r>
        <w:rPr>
          <w:b/>
        </w:rPr>
        <w:t>E. 6</w:t>
      </w:r>
    </w:p>
    <w:p>
      <w:r>
        <w:t>Lehnt das BFM ein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regelt das BFM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der angefochtenen Verfügung zutreffend darauf hin, dass das Prinzip des flüchtlingsrechtlichen Refoulementverbots nur Personen schützt, die die Flüchtlingseigenschaft erfüllen. Da es dem Beschwerdeführer nicht gelungen ist, eine asylrechtlich relevante Gefährdung nachzuweisen oder glaubhaft zu machen, findet das in Art. 5 AsylG und Art. 33 FK verankerte Refoulementverbot im vorliegenden Verfahren keine Anwendung. Eine Rückkehr des Beschwerde­führers in den Kosovo ist demnach unter diesem Aspekt rechtmässig. Sodann ergeben sich weder aus den Aussagen des Beschwerdeführers noch aus den Akten Anhaltspunkte dafür, dass er für den Fall einer Ausschaffung in seinen Heimatstaat mit beachtlicher Wahrscheinlichkeit einer nach Art. 3 EMRK oder Art. 1 FoK verbotenen Strafe oder Behandlung ausgesetzt wäre. Auch die allgemeine Menschenrechtssituation im Kosovo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Auch wenn es im Kosovo - insbesondere im Norden Kosovos - weiterhin vereinzelt zu Unruhen kommt, herrscht im jetzigen Zeitpunkt nicht eine generell un­sichere, von bewaffneten Konflikten oder jederzeit drohen­den Unruhen geprägte Lage, aufgrund derer der Beschwerdeführer bei einer Rück­kehr unweigerlich einer konkreten Gefährdung aus­gesetzt wäre. Zudem stellen blosse soziale und wirtschaftliche Schwierigkeiten, von denen weite Teile der ansässigen Bevölkerung betroffen sind, keine Gefährdung im Sinne von Art. 83 Abs. 4 AuG dar (vgl. dazu die weiterhin zutreffende Praxis der Asylrekurskommission in EMARK 2005 Nr. 24 E. 10.1. S. 215). Aufgrund der Aktenlage besteht zudem kein Grund zur Annahme, der Beschwerdeführer gerate im Falle einer Rückkehr in den Kosovo aus individuellen Gründen wirtschaftlicher, sozialer oder gesundheitlicher Natur in eine existenzbedrohende Situation, die den Vollzug der Wegweisung als unzumutbar erscheinen liesse. Der Beschwerdeführer macht keine gesundheitlichen Beschwerden geltend, verfügt nach eigenen Angaben über einen Handelsmittelschulabschluss und hat während mehreren Jahren im Kosovo als (...) gearbeitet, während eines Jahres sogar in leitender Stellung. Zudem befinden sich sowohl seine Eltern als auch drei Geschwister im Kosovo und die Familie besitzt in ihrem Heimatdorf zwei Häuser. 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(Art. 8 Abs. 4 AsylG und dazu auch BVGE 2008/34 E. 12 S. 513 ff.), weshalb der Vollzug der Wegweisung auch als möglich zu bezeichnen ist (Art. 83 Abs. 2 AuG).</w:t>
      </w:r>
    </w:p>
    <w:p>
      <w:r>
        <w:rPr>
          <w:b/>
        </w:rPr>
        <w:t>E. 7.6</w:t>
      </w:r>
    </w:p>
    <w:p>
      <w:r>
        <w:t>Zusammenfassend hat die Vorinstanz den Wegweisungsvollzug zu Recht als zulässig, zumutbar und möglich erachtet. Die Anordnung des Wegweisungsvollzugs ist zu bestätigen.</w:t>
      </w:r>
    </w:p>
    <w:p>
      <w:r>
        <w:rPr>
          <w:b/>
        </w:rPr>
        <w:t>E. 8</w:t>
      </w:r>
    </w:p>
    <w:p>
      <w:r>
        <w:t>Aus diesen Erwägungen ergibt sich, dass die angefochtene Verfügung Bundesrecht nicht verletzt, den rechtserheblichen Sachverhalt richtig und vollständig feststellt und angemessen ist (Art. 106 AsylG). Die Beschwerde ist damit abzuweisen.</w:t>
      </w:r>
    </w:p>
    <w:p>
      <w:r>
        <w:rPr>
          <w:b/>
        </w:rPr>
        <w:t>E. 9</w:t>
      </w:r>
    </w:p>
    <w:p>
      <w:r>
        <w:t>Bei diesem Ausgang des Verfahrens wären die Kosten dem Beschwerdeführer aufzuerlegen (Art. 63 Abs. 1 VwVG). Nachdem mit Instruktionsverfügung vom 14. Januar 2008 das Gesuch um Gewährung der unentgeltlichen Prozessführung gutgeheissen wurde und aus den Akten die auch heute weiterhin andauernde Bedürftigkeit des Beschwerdeführers hervorgeht, sind indessen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