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E-1354/2012 vom 22. März 2012</w:t>
      </w:r>
    </w:p>
    <w:p>
      <w:r>
        <w:t>Bundesverwaltungsgericht, 2012-03-22, DE</w:t>
      </w:r>
    </w:p>
    <w:p>
      <w:r>
        <w:rPr>
          <w:b/>
        </w:rPr>
        <w:t xml:space="preserve">Quelle: </w:t>
      </w:r>
      <w:r>
        <w:t>https://mcp.opencaselaw.ch/entscheid/bvger_E-1354_2012</w:t>
      </w:r>
    </w:p>
    <w:p>
      <w:r>
        <w:t>FR: TAF E-1354/2012 du 22 mars 2012</w:t>
      </w:r>
    </w:p>
    <w:p>
      <w:r>
        <w:t>IT: TAF E-1354/2012 del 22 marzo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der angefochtenen Verfügung fest, der Abgleich der Fingerabdrücke mit der Zentraleinheit Eurodac habe ergeben, dass der Beschwerdeführer am 20. August 2006 in Malta ein Asylgesuch eingereicht habe. Die maltesischen Behörden hätten innerhalb der festgelegten Frist zum Übernahmeersuchen des BFM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sei somit die Zuständigkeit zur Durchführung des Asyl- und Wegweisungsverfahrens an Malta übergegangen. Weiter stellte die Vorinstanz fest, das Asylgesuch des Beschwerdeführers sei in Malta abgelehnt worden. Ein abgeschlossenes Asyl- und Wegweisungsverfahren in Malta vermöge keine Änderung der Zuständigkeit zu bewirken. Es obliege den maltesischen Behörden, den Aufenthaltsstatus zu regeln oder die Wegweisung des Beschwerdeführers ins Heimatland anzuordnen. Die Überstellung nach Malta habe - vorbehältlich einer allfälligen Unterbrechung oder Verlängerung - bis spätestens am 24. Mai 2012 zu erfolgen. Schliesslich könne das Verhältnis zwischen dem Beschwerdeführer und seiner Freundin nicht als eine dauerhafte Beziehung im Sinne von Art. 2 Bst. i) Dublin-II-VO in Verbindung mit Art. 8 der Konvention vom 4. November 1950 zum Schutze der Menschenrechte und Grundfreiheiten (EMRK, SR 0.101) gewertet werden, womit sich kein Zuständigkeitskriterium für die Schweiz ergebe.</w:t>
      </w:r>
    </w:p>
    <w:p>
      <w:r>
        <w:rPr>
          <w:b/>
        </w:rPr>
        <w:t>E. 3.3</w:t>
      </w:r>
    </w:p>
    <w:p>
      <w:r>
        <w:t>Der Beschwerdeführer macht geltend, die Vorinstanz habe den Nichteintretensentscheid in Nichtbeachtung humanitärer Überlegungen gefällt. Zusammen mit seiner Freundin und dem am (...) geborenen Kind bilde er eine Familie. Vor einem halben Jahr habe sich die Schweiz für das Asylgesuch der Freundin zuständig erklärt. Er wünsche, dass sein Gesuch von der Schweiz behandelt werde, wobei für ihn irrelevant sei, ob sich die Zuständigkeit aus Art. 3 Abs. 2 Dublin-II-VO oder Art. 15 Dublin-II-VO ergebe.</w:t>
      </w:r>
    </w:p>
    <w:p>
      <w:r>
        <w:rPr>
          <w:b/>
        </w:rPr>
        <w:t>E. 4.1</w:t>
      </w:r>
    </w:p>
    <w:p>
      <w:r>
        <w:t>Vorweg ist festzuhalten, dass der Beschwerdeführer die grundsätzlich Zuständigkeit Maltas nicht beanstandet. Malta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Malta im konkreten Fall nicht an die daraus resultierenden Verpflichtungen hält. Auch wenn das Asylverfahren des Beschwerdeführers in Malta bereits rechtskräftig abgeschlossen ist und er deshalb kein Anrecht mehr auf Unterbringung oder weitergehende staatliche oder nichtstaatliche Unterstützung hat, bleibt Malta gemäss Art. 16 Abs. 2 Bst. e Dublin-II-VO weiterhin für sein Verfahren bis zu einem allfälligen Wegweisungsvollzug zuständig (Art. 16 Abs. 4 Dublin-II-VO sowie Christian Filzwieser/Andrea Sprung, Dublin-II-Verordnung, 3., überarb. Aufl., Wien/Graz 2010, K 25 zu Art. 16 Abs. 4).</w:t>
      </w:r>
    </w:p>
    <w:p>
      <w:r>
        <w:rPr>
          <w:b/>
        </w:rPr>
        <w:t>E. 4.2.1</w:t>
      </w:r>
    </w:p>
    <w:p>
      <w:r>
        <w:t>Nach Art. 2 Bst. i) Dublin-II-VO ist der nicht verheiratete Partner der asylsuchenden Person ein Familienangehöriger im Sinne des Dublin-Ab­kommens, sofern eine dauerhafte Beziehung geführt wird. Dass vorlie­gend eine gefestigte und dauerhafte Beziehung tatsächlich gelebt wird, wird in der Rechtsmitteleingabe nicht substantiiert dargetan. Namentlich legt der Beschwerdeführer nicht dar, wie er und seine Freundin ihre Partnerschaft leben und inwiefern ein Abhängigkeitsverhältnis vorliegt. Indes kann diese Frage aufgrund der nachstehenden Erwägungen offen gelassen werden. Gemäss der humanitären Klausel von Art. 15 Dublin-II-VO kann jeder Mitgliedstaat aus humanitären Gründen, die sich insbeson­dere aus dem familiären oder kulturellen Kontext ergeben, Famili­enmitglieder oder andere abhängige Familienangehörige zusammen­führen, auch wenn er dafür nach den Kriterien dieser Verord­nung nicht zuständig ist. In diesem Fall prüft jener Mitgliedstaat auf Ersu­chen eines anderen Mitgliedstaates den Asylantrag der betroffenen Per­son, wobei die betroffenen Personen diesem Vorgehen zustimmen müs­sen. Die humanitäre Klausel dient somit aus­schliesslich als Rechtsgrundlage, andere Mitgliedstaaten zu ersuchen, den Asylantrag einer asylsuchenden Person zu überprüfen (vgl. Filzwieser/Sprung, a.a.O., K2 und 4 zu Art. 15). Dies bedingt, dass sich die betroffene Person nicht in dem Staat aufhält, der sich aus humanitä­ren Gründen auf Anfrage eines anderen Mitgliedstaates für zustän­dig erklären könnte. Die Anwendungsvoraussetzung gilt - entgegen der Auffassung in der Beschwerde - nicht nur für die Grundregel nach Art. 15 Abs. 1 Dublin-II-VO, sondern gleichermassen auch für die Regel der Zusammenführung nach Art. 15 Abs. 2 Dublin-II-VO, was sich bereits aus der systematischen Stellung der Norm ergibt (Filzwieser/Sprung, a.a.O.) und der bundesverwaltungsgerichtlichen Rechtsprechung entspricht (vgl. Urteil D-6486/2011 vom 17. Februar 2011, E. 4.4.). Da sich der Beschwerdeführer in der Schweiz und somit in einem für das Asylverfahren nicht zuständigen Staat aufhält, kommt Art. 15 Abs. 1 Dublin-II-VO vorliegend nicht zur Anwendung.</w:t>
      </w:r>
    </w:p>
    <w:p>
      <w:r>
        <w:rPr>
          <w:b/>
        </w:rPr>
        <w:t>E. 4.2.2</w:t>
      </w:r>
    </w:p>
    <w:p>
      <w:r>
        <w:t>Halten sich sowohl die asylsuchende Person als auch das Fami­lienmit­glied im gleichen Staat auf, kann eine Tren­nung der Familienmitglieder im gleichen Mitgliedstaat allenfalls über das Selbsteintrittsrecht nach Art. 3 Abs. 2 Dublin-II-VO verhindert werden (Filzwieser/Sprung, a.a.O., K11 zu Art. 15). 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aber nur möglich, wenn mit der Forderung nach einem Selbstein­tritt gleichzeitig geltend ge­macht wird, mit der Durchsetzung der nach der Dublin-II-VO festste­henden Zuständigkeit würde eine Norm des Völkerrechts oder aber eine Norm des innerstaatlichen Rechts verletzt (vgl. BVGE 2010/45 E. 5). Der Beschwerdeführer macht geltend, eine Rückführung nach Malta verstosse gegen Art. 8 EMRK. Es ist demnach zu prüfen, ob die Schweiz vorliegend von ihrem Selbsteintrittsrecht nach Art. 3 Abs. 2 Dublin-II-VO in Verbindung mit Art. 8 EMRK Gebrauch machen soll. Gemäss ständiger bundesgerichtlicher Rechtsprechung kann sich jemand nur dann auf den Schutz des Familienlebens nach Art. 8 EMRK be­rufen, wenn er sich auf eine Beziehung zu einer Person mit gefestigtem Anwesen­heitsrecht (Bürgerrecht oder Niederlassungsbewilli­gung) in der Schweiz beziehen kann (BGE 137 I 351 E. 3.1 S. 354; BGE 135 I 143 E. 1.3 S. 145 f.). Die Freundin des Beschwerdeführers ist zur Zeit hier in der Schweiz Asylsuchende. Sie verfügt demnach nicht über ein gefestigtes Anwesenheitsrecht im Sinne der vorgenannten Rechtsprechung. Der Beschwerdefüh­rer kann somit aus dem Recht auf Achtung des Fami­li­enlebens nach Art. 8 EMRK keinen Anspruch zu seinen Gunsten ableiten. Es liegen demnach keine Gründe vor, wonach die Schweiz von ihrem Recht auf Selbsteintritt unter dem Aspekt von Art. 3 Abs. 2 Dublin-II-VO in Verbindung mit Art. 8 EMRK Gebrauch machen müsste. Die Vorinstanz hat eine Pflicht zur Ausübung zum Selbsteintritt zu Recht verneint. Schliesslich vermag der Beschwerdeführer aus dem eingereichten Arztzeugnis im Hinblick auf das Selbsteintrittsrecht der Schweiz nichts zu seinen Gunsten abzuleiten. Die Behandlung in Zusammenhang mit dem Autounfall ist abgeschlossen. Was die Behandlung von Asthma betrifft, ist eine solche auch in Malta möglich.</w:t>
      </w:r>
    </w:p>
    <w:p>
      <w:r>
        <w:rPr>
          <w:b/>
        </w:rPr>
        <w:t>E. 4.3</w:t>
      </w:r>
    </w:p>
    <w:p>
      <w:r>
        <w:t>Zusammenfassend ist festzuhalten, dass die Vorinstanz zu Recht in Anwendung von Art. 34 Abs. 2 Bst. d AsylG auf das Asylgesuch des Beschwerdeführers nicht eingetreten ist. Es besteht somit keine Grundlage, das Verfahren des Beschwerdeführers mit demjenigen seiner Freundin zu vereinigen. Der entsprechende Antrag ist daher abzuweisen.</w:t>
      </w:r>
    </w:p>
    <w:p>
      <w:r>
        <w:rPr>
          <w:b/>
        </w:rPr>
        <w:t>E. 5.1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Malta zu Recht als zu­lässig, zumutbar und möglich bezeichnet.</w:t>
      </w:r>
    </w:p>
    <w:p>
      <w:r>
        <w:rPr>
          <w:b/>
        </w:rPr>
        <w:t>E. 6</w:t>
      </w:r>
    </w:p>
    <w:p>
      <w:r>
        <w:t>Nach dem Gesagten ergibt sich, dass die angefochtene Verfügung Bundes­recht nicht verletzt, der rechtserhebliche Sachverhalt richtig und unvollstän­dig festgestellt sowie unangemessen ist (Art. 106 AsylG). Die Be­schwerde ist daher abzuweisen. Damit sind die Gesuch um Wiederherstellung der aufschiebenden Wirkung der Beschwerde sowie um Erlass von vorsorglichen Massnahmen gegenstandlos geworden.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7.2</w:t>
      </w:r>
    </w:p>
    <w:p>
      <w:r>
        <w:t>Bei diesem Ausgang des Verfahrens sind die Kosten von Fr. 600. - (Art. 1 - 3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