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E-1339/2014 vom 12. Juni 2014</w:t>
      </w:r>
    </w:p>
    <w:p>
      <w:r>
        <w:t>Bundesverwaltungsgericht, 2014-06-12, DE</w:t>
      </w:r>
    </w:p>
    <w:p>
      <w:r>
        <w:rPr>
          <w:b/>
        </w:rPr>
        <w:t xml:space="preserve">Quelle: </w:t>
      </w:r>
      <w:r>
        <w:t>https://mcp.opencaselaw.ch/entscheid/bvger_E-1339_2014</w:t>
      </w:r>
    </w:p>
    <w:p>
      <w:r>
        <w:t>FR: TAF E-1339/2014 du 12 juin 2014</w:t>
      </w:r>
    </w:p>
    <w:p>
      <w:r>
        <w:t>IT: TAF E-1339/2014 del 12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Gesuch um Verzicht auf die Erhebung eines Kostenvorschusses wird mit dem vorliegenden Entscheid in der Sache obsolet. Ob das Fristerstreckungsgesuch zur Einreichung einer Fürsorgebestätigung als hinreichend begründet im Sinne von Art. 22 Abs. 2 VwVG zu erachten ist, kann offenbleiben, weil sich die Beschwerde als aussichtslos erweist, wie unter dem Kostenpunkt zu zeigen sein wird.</w:t>
      </w:r>
    </w:p>
    <w:p>
      <w:r>
        <w:rPr>
          <w:b/>
        </w:rPr>
        <w:t>E. 5</w:t>
      </w:r>
    </w:p>
    <w:p>
      <w:r>
        <w:t>Die Rechtsvertreterin beantragt die Gewährung der Akteneinsicht in die vollständigen Verfahrensakten und das Setzen einer angemessenen Nachfrist zur Ergänzung der Beschwerdebegründung und zum Nachreichen von Beweismitteln. Das Gesuch ist aus folgenden Gründen abzulehnen. Zunächst ist festzustellen, dass es sich bei dem Gesuch um einen pauschalen Antrag handelt, aus welchem in keinster Weise ersichtlich wird, inwiefern dem Anspruch auf rechtliches Gehör mit der dem Beschwerdeführer nur ein Monat zuvor gewährten Akteneinsicht nicht Genüge getan worden wäre. Bezeichnenderweise suchte die Rechtsvertreterin im Rahmen der Anzeige ihrer Mandatsübernahme beim BFM 6. März 2014 nicht um Einsicht in die Akten nach, ebensowenig während der danach noch rund eine Woche laufenden Beschwerdefrist. Demgegenüber wurden der Beschwerdeschrift noch Auszüge aus den Vorakten beigelegt (so das Aktenstück A18/12). Soweit die Ansetzung einer Frist zur Ergänzung der Beschwerdebegründung (Art. 53 VwVG) beantragt wird, ist dieser Antrag ebenfalls abzuweisen, weil nicht ersichtlich ist, worin der aussergewöhnliche Umfang oder die besondere Schwierigkeit der Beschwerdesache liegen könnte, zumal solches auch nicht geltend gemacht wird und der Sachverhalt sich als genügend erstellt erweist. Ebenso wenig ist ersichtlich, welche Beweismittel der Beschwerdeführer noch beibringen möchte und das angekündigte Arztzeugnis wurde bis heute nicht nachgereicht (vgl. Art. 32 Abs. 2 VwVG).</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w:t>
      </w:r>
    </w:p>
    <w:p>
      <w:r>
        <w:t>Die Flüchtlingseigenschaft ist dann zu verneinen, wenn ein Staat vor flüchtlingsrechtlich relevanten Bedrohungen hinreichenden Schutz gewährt. Der Beschwerdeführer ist armenischer Staatsangehöriger und lebte von seinem 4. bis 12. Lebensjahr im Heimatstaat, bevor er zusammen mit seinen Eltern aus wirtschaftlichen Gründen nach Syrien gegangen sei. Das Gericht stimmt mit dem BFM überein, dass der Beschwerdeführer insofern keine Gründe im Sinne von Art. 3 AsylG geltend macht als er Schwierigkeiten aus dem Umstand ableitet, dass er in Armenien niemanden kenne und wirtschaftliche Nachteile befürchte. Sofern er pauschal auf mögliche Diskriminierungen als Auslandarmenier verweist, hält das BFM ebenfalls zu Recht fest, es bestünden keine konkreten Anhaltspunkte dafür. Der Beschwerdeführer vermag den Argumenten des BFM nichts Substanziiertes entgegenzuhalten. Insgesamt ist ohne Weiteres davon auszugehen, dass der für Schutz primär zuständige Heimatstaat des Beschwerdeführers ihm diesen - sofern er ihn überhaupt bedarf - auch gewähren kann. Dem Beschwerdeführer ist es somit nicht gelungen, flüchtlingsrelevante Gründe darzutun, weshalb das BFM das Asylgesuch zu Recht abgelehnt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Armenien ist demnach unter dem Aspekt von Art. 5 AsylG (sowie Art. 33 Art. 33 Abs. 1 des Abkommens vom 28. Juli 1951 über die Rechtsstellung der Flüchtlinge [FK, SR 0.142.30]) rechtmässig. Sodann ergeben sich weder aus den Aussagen des Beschwerdeführers noch aus den Akten Anhaltspunkte dafür, dass er für den Fall einer Ausschaffung in den Herkunftsstaat dort mit beachtlicher Wahrscheinlichkeit einer nach Art. 25 Abs. 3 BV, Art. 3 des Übereinkommens vom 10. Dezember 1984 gegen Folter und andere grausame, unmenschliche oder erniedrigende Behandlung oder Strafe (FoK, SR 0.105) oder Art. 3 EMRK verbotenen Strafe oder Behandlung ausgesetzt wäre.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Eine Gefährdung des Beschwerdeführers aufgrund der allgemeinen Lage in Armenien liegt offensichtlich nicht vor. In individueller Hinsicht macht er gesundheitliche Gründe geltend, welche gegen die Zumutbarkeit des Wegweisungsvollzugs sprächen. Dabei verweist er lapidar auf eine Grippe mit Fieber, welche der Beschwerdeführer bei Einreise in die Schweiz gehabt habe sowie auf eine "posttraumatische Erscheinung". Es fehlt aber sowohl eine einigermassen substanziierte Begründung als auch bis heute die angekündigten Arztberichte, weshalb der Beschwerdeführer keine gesundheitlichen Beeinträchtigung glaubhaft machen kann, die gegen die Zumutbarkeit sprechen würde. Darüber hinaus sind im armenischen Gesundheitswesen medizinische Einrichtungen vorhanden und zugänglich. Beim Beschwerdeführer handelt es sich schliesslich um einen jungen Mann, welcher laut eigenen Angaben nach der Schule in der (...) seines Vaters tätig war. Es ist ihm zuzumuten, in der Hauptstadt Eriwan, wo er gelebt hat, bevor er nach Syrien gegangen ist, eine wirtschaftliche und soziale Existenz aufzubauen. Nach dem Gesagten erweist sich der Vollzug der Wegweisung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sind die Kosten grundsätzlich dem Beschwerdeführer aufzuerle­gen (Art. 63 Abs. 1 VwVG). Es verbleiben jedoch die Gesuche um Gewährung der unentgeltlichen Rechtspflege nach Art. 65 Abs. 1 VwVG und Art. 110a AsylG zu beurteilen. Sie sind beide - unabhängig von der nicht belegten Bedürftigkeit - abzuweisen. Die Beschwerde erweist sich nämlich als aussichtlos im Sinne von Art. 65 Abs. 1 VwVG, weil eine summarische Prüfung der Akten im massgeblichen Zeitpunkt ergab, dass der zur Schutzgewährung primär zuständige Heimatstaat vorliegend schutzfähig und - willig sein würde, wäre ein entsprechender Schutz überhaupt notwendig. Die Verfahrenskosten, die auf Fr. 600. festgesetzt werden (vgl. Art. 3 des Reglements vom 21. Februar 2008 über die Kosten und Entschädigungen vor dem Bundesverwaltungsgericht (VGKE, SR 173.320.2) sind dementsprechend dem Beschwerdeführer aufzuerlegen. Eine Entschädigung ist nicht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