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E-1336/2019 vom 4. April 2019</w:t>
      </w:r>
    </w:p>
    <w:p>
      <w:r>
        <w:t>Bundesverwaltungsgericht, 2019-04-04, DE</w:t>
      </w:r>
    </w:p>
    <w:p>
      <w:r>
        <w:rPr>
          <w:b/>
        </w:rPr>
        <w:t xml:space="preserve">Quelle: </w:t>
      </w:r>
      <w:r>
        <w:t>https://mcp.opencaselaw.ch/entscheid/bvger_E-1336_2019</w:t>
      </w:r>
    </w:p>
    <w:p>
      <w:r>
        <w:t>FR: TAF E-1336/2019 du 4 avril 2019</w:t>
      </w:r>
    </w:p>
    <w:p>
      <w:r>
        <w:t>IT: TAF E-1336/2019 del 4 aprile 2019</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Ausländerrecht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Beschwerde richtet sich lediglich gegen den angeordneten Wegweisungsvollzug (Dispositivziffern 4 und 5 der angefochtenen Verfügung des SEM vom 14. Februar 2019). Demnach ist die vorinstanzliche Verfügung in Rechtskraft erwachsen, soweit sie die Fragen der Flüchtlingseigenschaft und des Asyls betrifft (Dispositivziffern 1 und 2). Praxisgemäss ist somit auch die Wegweisung als solche (Dispositivziffer 3) grundsätzlich nicht mehr zu überprüfen. Gegenstand des vorliegenden Beschwerdeverfahrens bildet demnach die Frage, ob das SEM den Wegweisungsvollzug zu Recht als durchführbar erachtet hat oder ob allenfalls anstelle des Vollzugs eine vorläufige Aufnahme anzuordnen ist.</w:t>
      </w:r>
    </w:p>
    <w:p>
      <w:r>
        <w:rPr>
          <w:b/>
        </w:rPr>
        <w:t>E. 5.2</w:t>
      </w:r>
    </w:p>
    <w:p>
      <w:r>
        <w:t>Hinsichtlich der Wegweisung ist ergänzend festzuhalten, dass das vorliegend unsubstantiiert geltend gemachte Ehevorbereitungsverfahren gemäss Praxis keinen Anspruch auf dauerhaften Verbleib in der Schweiz zu begründen vermag (vgl. u.a. Urteile des BVGer E-5348/2017 vom 28. März 2019 E. 5.2; E-3422/2018 vom 27. Juni 2018 E. 7.3, m.w.H.). Die Beschwerdeführerin macht keine Ausführungen darüber, ob es sich bei ihrer Partnerschaft um eine tatsächliche, gelebte und gefestigte Beziehung handelt. Die Meldung der Heiratspläne erfolgte erst auf Beschwerdeebene im März 2019. Während der BzP im Januar 2017 und der Anhörung im Dezember 2017 erwähnte die Beschwerdeführerin ihren Partner mit keinem Wort, obwohl die Beziehung gemäss eigenen Angaben seit zwei Jahren bestehe. Sodann verfügen die beiden gemäss ZEMIS-Register nicht über die gleiche Wohnadresse. Insgesamt kann nicht von einem gemeinsamen Haushalt respektive einer dauerhaften und gefestigten, mithin eheähnlichen Beziehung ausgegangen werden (vgl. Urteil des BVGer D-1869/2017 vom 6. August 2018 E. 5). Zum aktuellen Zeitpunkt kann die Beschwerdeführerin folglich keine Ansprüche aus der geltend gemachten Beziehung respektive dem geplanten Ehevorbereitungsverfahren ableiten. Daran vermag der potenzielle Anspruch auf eine Kurzaufenthaltsbewilligung zwecks Vorbereitung des Eheschlusses nichts zu ändern (vgl. Urteil des Bundesgerichts 2C_880/2017 vom 3. Mai 2018 E. 4.2 f., m.w.H.). Der Beschwerdeführerin ist es jedoch unbenommen, ein entsprechendes Gesuch bei den hierfür zuständigen kantonalen Behörden zu stellen (vgl. Urteil des BVGer D-6304/2018 vom 12. Dezember 2018).</w:t>
      </w:r>
    </w:p>
    <w:p>
      <w:r>
        <w:rPr>
          <w:b/>
        </w:rPr>
        <w:t>E. 6</w:t>
      </w:r>
    </w:p>
    <w:p>
      <w:r>
        <w:t>Die Beschwerdeführerin vertritt in der Beschwerde die Auffassung, der Wegweisungsvollzug sei angesichts der ihr drohenden Inhaftierung und Einziehung in den eritreischen Nationaldienst als unzulässig und unzumutbar zu qualifizieren (vgl. oben Sachverhalt Bst. D). Ferner könne der Ansicht des Bundesverwaltungsgerichts hinsichtlich des eritreischen Nationaldienstes nicht gefolgt werden. Dieser führe zu einer Verletzung von Art. 3 und Art. 4 Abs. 2 EMRK.</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6.2.2</w:t>
      </w:r>
    </w:p>
    <w:p>
      <w:r>
        <w:t>Die Frage der Zulässigkeit des Wegweisungsvollzugs bei anstehender Einziehung in den eritreischen Nationaldienst ist vom Bundesverwaltungsgericht mit Grundsatzurteil E-5022/2017 vom 10. Juli 2018 (zur Publikation vorgesehen) geklärt worden.</w:t>
      </w:r>
    </w:p>
    <w:p>
      <w:r>
        <w:rPr>
          <w:b/>
        </w:rPr>
        <w:t>E. 6.2.3</w:t>
      </w:r>
    </w:p>
    <w:p>
      <w:r>
        <w:t>Das Gericht hat die Zulässigkeit des Wegweisungsvollzugs sowohl unter dem Gesichtspunkt des Zwangsarbeitsverbots (Art. 4 Abs. 2 EMRK) als auch unter jenem des Verbots der Folter und der unmenschlichen und erniedrigenden Behandlung (Art. 3 EMRK) geprüft und bejaht (vgl. Grundsatzurteil E-5022/2017 E. 6.1). Insbesondere kam das Gericht zum Schluss,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Nicht erstellt sei zudem, dass die kolportierten Misshandlungen und Übergriffe derart systematisch stattfänden, dass jede und jeder Nationaldienstleistende dem ernsthaften Risiko ausgesetzt wäre, selbst solche Übergriffe zu erleiden, weshalb auch insofern eine Verletzung von Art. 4 Abs. 2 EMRK durch den Wegweisungsvollzugs zu verneinen sei (a.a.O., E. 6.1.5.2). Gemäss Praxis des Europäischen Gerichtshofes für Menschenrechte (EGMR) müsste ein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6.2.4</w:t>
      </w:r>
    </w:p>
    <w:p>
      <w:r>
        <w:t>Vorliegend ist nicht ersichtlich, weshalb im Falle der Beschwerdeführerin eine allfällige Einziehung in den Nationaldienst diese Bestimmungen verletzen sollte. Die generellen Ausführungen in der Beschwerdeschrift zur Einstufung des eritreischen Nationaldienstes sind sodann nicht geeignet, die obgenannte Einschätzung des Bundesverwaltungsgerichts umzustossen. Aus den Akten ergeben sich keine weiteren Gründe für die Annahme der Unzulässigkeit des Wegweisungsvollzugs. Der Wegweisungsvollzug ist folglich als zulässig zu betrachten.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Die drohende Einziehung in den eritreischen Nationaldienst führt -entgegen der Ansicht der Beschwerdeführerin - mangels einer hinreichend konkreten Gefährdung auch nicht generell zur Feststellung der Unzumutbarkeit des Wegweisungsvollzugs gemäss Art. 83 Abs. 4 AIG (vgl. Grundsatzurteil E-5022/2017 E. 6.2). Umstände, weshalb dies im Falle der Beschwerdeführerin anders sein sollte, sind nicht ersichtlich.</w:t>
      </w:r>
    </w:p>
    <w:p>
      <w:r>
        <w:rPr>
          <w:b/>
        </w:rPr>
        <w:t>E. 6.3.2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6.3.3</w:t>
      </w:r>
    </w:p>
    <w:p>
      <w:r>
        <w:t>Sodann sind - in Übereinstimmung mit der Vorinstanz - keine Hinweise ersichtlich, wonach die Beschwerdeführerin bei einer Rückkehr in eine existenzielle Notlage geraten könnte. Es handelt sich bei ihr um eine junge und gesunde Frau mit Schulbildung bis zur (...) Klasse und Arbeitserfahrung in der (...). In ihrer Heimat kann sie auf ein tragfähiges familiäres Beziehungsnetz und eine gesicherte Wohnsituation zurückgreifen. Ferner verfügt ihre Familie über (...). Es ist somit davon auszugehen, dass sie ihre Familie bei der Reintegration bei Bedarf unterstützen wird. Nach dem Gesagten erweist sich der Vollzug der Wegweisung auch als zumutbar.</w:t>
      </w:r>
    </w:p>
    <w:p>
      <w:r>
        <w:rPr>
          <w:b/>
        </w:rPr>
        <w:t>E. 6.4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Die Beschwerdeführerin beantragte die Gewährung der unentgeltlichen Prozessführung und Rechtsverbeiständung gemäss Art. 65 Abs. 1 VwVG und aArt. 110a Abs. 1 AsylG. Aufgrund der vorstehenden Erwägungen ergibt sich, dass ihre Begehren als aussichtlos zu bezeichnen waren. Damit ist eine der kumulativ zu erfüllenden Voraussetzungen nicht gegeben, weshalb die Gesuche abzuweisen sind. Das Gesuch um Verzicht auf die Erhebung eines Kostenvorschusses ist mit vorliegendem Direktentscheid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