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E-1335/2016 vom 9. März 2016</w:t>
      </w:r>
    </w:p>
    <w:p>
      <w:r>
        <w:t>Bundesverwaltungsgericht, 2016-03-09, DE</w:t>
      </w:r>
    </w:p>
    <w:p>
      <w:r>
        <w:rPr>
          <w:b/>
        </w:rPr>
        <w:t xml:space="preserve">Quelle: </w:t>
      </w:r>
      <w:r>
        <w:t>https://mcp.opencaselaw.ch/entscheid/bvger_E-1335_2016</w:t>
      </w:r>
    </w:p>
    <w:p>
      <w:r>
        <w:t>FR: TAF E-1335/2016 du 9 mars 2016</w:t>
      </w:r>
    </w:p>
    <w:p>
      <w:r>
        <w:t>IT: TAF E-1335/2016 del 9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ist teilweise in englischer Sprache und damit nicht in einer Amtssprache des Bundes (vgl. Art. 105 AsylG i.V.m. Art. 33a VwVG und Art. 70 Abs. 1 der Bundesverfassung der Schweizerischen Eidgenossenschaft vom 18. April 1999 [BV, SR 101]) abgefasst. Die Eingabe weist keine Unklarheiten auf, weshalb praxisgemäss auf die Einholung einer Übersetzung in eine Amtssprache zu verzichten ist (vgl. statt vieler Urteil des BVGer E-2000/2015 vom 4. Mai 2015).</w:t>
      </w:r>
    </w:p>
    <w:p>
      <w:r>
        <w:rPr>
          <w:b/>
        </w:rPr>
        <w:t>E. 2.3</w:t>
      </w:r>
    </w:p>
    <w:p>
      <w:r>
        <w:t>Soweit der Beschwerdeführer den Antrag stellt, jegliche Datenweitergabe an den Heimatstaat sei zu unterlassen sowie (eventualiter) bei bereits erfolgter Datenweitergabe darüber in einer separaten Verfügung informiert zu werden, so ist die Beschwerde mangelhaft, weil es an einer genügenden Begründung fehlt (Art. 52 Abs. 1 VwVG). Eine Rückweisung zur Verbesserung des Mangels (Art. 52 Abs. 2 VwVG) kann unterbleiben, weil der verfahrensrechtliche Antrag mit dem vorliegenden Endentscheid gegenstandslos wird. Die Beschwerde hat aufschiebende Wirkung von Gesetzes wegen und die Vorinstanz hat sie nicht entzogen (Art. 55 Abs. 1 und 2 VwVG). Der Antrag betreffend aufschiebende Wirkung ist gegenstandslos.</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Glaubhaftigkeit gemäss Art. 7 AsylG nicht standhalten. Er könne kaum Angaben zur politischen Aktivität seines Vaters machen. Die Schilderung der Verhaftung seines Vater und seines Bruders falle unsubstantiiert und nicht erlebnisgeprägt aus. Auf Fragen antworte er in pauschaler und stereotyper Weise, und er vermöge vieles zeitlich nicht einzuordnen. Die Angaben zu seiner Festnahme und den Ereignissen auf dem Polizeiposten seien ebenfalls detaillos und undifferenziert. Seine Vorbringen, dass er in der Schule keine ausreichende Bildung erhalten habe, sowie dass er in Äthiopien keine Lebensperspektive habe, seien zudem nicht asylrelevant.</w:t>
      </w:r>
    </w:p>
    <w:p>
      <w:r>
        <w:rPr>
          <w:b/>
        </w:rPr>
        <w:t>E. 4.2</w:t>
      </w:r>
    </w:p>
    <w:p>
      <w:r>
        <w:t>Die Vorinstanz hat den Massstab des Glaubhaftmachens nicht verkannt und auf den vorliegenden Fall korrekt angewendet. Der Beschwerdeführer setzt sich mit der vorinstanzlichen Beweiswürdigung nicht auseinander und zeigt nicht auf, inwiefern sie Bundesrecht verletzen oder zu einer rechtsfehlerhaften Sachverhaltsfeststellung führen soll. Solches ist auch nicht ersichtlich. So trifft zu, dass der Beschwerdeführer keine Angaben über die politische Tätigkeit seines Vaters machen konnte. Er führt hierzu lediglich aus, er wisse nur, dass sein Vater in der ABO sei (SEM-Akten, A21/21 F56 ff.). Auf Beschwerdeebene bringt der Beschwerdeführer vor, in Äthiopien sei es nicht üblich, dass der Vater mit den Kindern über Politik spreche. Im vorliegenden Fall ist dies nicht nachvollziehbar, zumal der Beschwerdeführer angeblich wegen der politischen Tätigkeit seines Vaters von der Polizei immer wieder gesucht und sogar einmal festgenommen wurde. Spätestens nach der Rückkehr des Vaters wäre zu erwarten gewesen, dass sich der Beschwerdeführer bei diesem erkundigt, weshalb die Polizei es nun auch auf ihn abgesehen habe. Umso unverständlicher ist dies, da er mit seinem Vater über dessen Haft gesprochen, ihn aber anscheinend nicht auf die Gründe dieser Haft angesprochen hat (SEM-Akten, A21/21 F110). Die Angaben des Beschwerdeführers zur Festnahme seines Bruders und seines Vaters sind äusserst oberflächlich. So habe er während der Festnahme geschlafen (SEM-Akten, A21/21 F54). Es darf jedoch davon ausgegangen werden, dass der Beschwerdeführer die Festnahme mitbekommen hat, zumal eine solche Festnahme bei Nacht nicht still und heimlich abgelaufen sein dürfte, sondern Lärm und Diskussionen hervorgebracht hätte. Dass er lediglich vorbringt, er sei aufgewacht und habe einzig gehört, wie sie mit dem Auto weggefahren seien (SEM-Akten, A21/21 F79), ist unter diesen Umständen nicht realistisch. Auffallend ist auch, dass er dieses Ereignis zeitlich nicht einordnen konnte, obwohl ihm dies mit anderen, weniger prägenden Erlebnissen gelang. Auch seine eigene Festnahme schildert der Beschwerdeführer nur vage und ohne Details zu nennen (SEM-Akten, A21/12 F120 ff.). Realkennzeichen finden sich auch hier nicht. Insgesamt sind seine Schilderungen über die politischen Aktivitäten seines Vaters, die Festnahme seines Vaters und seines Bruders sowie über seine eigene Festnahme durchgehend unsubstantiiert und deshalb unglaubhaft. Aus dem eingereichten Schreiben der Oromo Community of Switzerland kann der Beschwerdeführer nichts zu seinen Gunsten ableiten.</w:t>
      </w:r>
    </w:p>
    <w:p>
      <w:r>
        <w:rPr>
          <w:b/>
        </w:rPr>
        <w:t>E. 4.3</w:t>
      </w:r>
    </w:p>
    <w:p>
      <w:r>
        <w:t>Zusammenfassend hat der Beschwerdeführer nichts vorgebracht, das geeignet wäre, die Flüchtlingseigenschaft nachzuweisen oder glaubhaft zu machen. Die Vorinstanz hat demnach das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nach Äthiopien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Auch sprechen keine individuellen Gründe gegen eine Rückkehr des Beschwerdeführers nach Äthiopien. Er hat sein ganzes bisheriges Leben in Äthiopien verbracht und verfügt dort über ein grosses soziales Netz (Eltern, Onkel, Tanten, Nachbarn). Zudem handelt es sich beim Beschwerdeführer um einen kurz vor der Volljährigkeit stehenden gesunden Mann im arbeitsfähigen Alter. In Übereinstimmung mit den vorinstanzlichen Erwägungen ist von der Zumutbarkeit des Wegweisungsvollzugs auszugehen (vgl. auch Urteil des BVGer D-6417/2012 vom 8. April 2013 E. 7.4.3).</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um Beiordnung eines amtlichen Rechtsvertreters kann nicht stattgegeben werden, weil seine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