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E-1325/2010 vom 30. August 2012</w:t>
      </w:r>
    </w:p>
    <w:p>
      <w:r>
        <w:t>Bundesverwaltungsgericht, 2012-08-30, DE</w:t>
      </w:r>
    </w:p>
    <w:p>
      <w:r>
        <w:rPr>
          <w:b/>
        </w:rPr>
        <w:t xml:space="preserve">Quelle: </w:t>
      </w:r>
      <w:r>
        <w:t>https://mcp.opencaselaw.ch/entscheid/bvger_E-1325_2010</w:t>
      </w:r>
    </w:p>
    <w:p>
      <w:r>
        <w:t>FR: TAF E-1325/2010 du 30 août 2012</w:t>
      </w:r>
    </w:p>
    <w:p>
      <w:r>
        <w:t>IT: TAF E-1325/2010 del 30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Die Vorinstanz kommt in der angefochtenen Verfügung zum Schluss, dass die Vorbringen der Beschwerdeführenden weder den Anforderungen an die Glaubhaftigkeit gemäss Art. 7 AsylG, noch denjenigen an die Flüchtlingseigenschaft gemäss Art. 3 AsylG standhielten. Zur Begründung führt sie aus, gemäss dem Ergebnis der Botschaftsanfrage treffe es nicht zu, dass der Vater und der Bruder des Beschwerdeführers seitens der Brüder von F._______ bedroht worden und deshalb nach Montenegro geflohen seien. Auch der Vater und der Bruder der Beschwerdeführerin hätten sich nicht nach Montenegro abgesetzt. Beide Familien hätten an ihrem Wohnort ausser wirtschaftlichen Schwierigkeiten keine Probleme. Die Eltern des Beschwerdeführers hätten nur von den Erzählungen ihres Sohnes Kenntnis über die Beziehung und die Auflösung der Verlobung. Sodann hätten die Beschwerdeführenden nicht deshalb in G._______ gelebt, weil sie sich vor den Brüdern von F._______ hätten verstecken müssen, sondern weil ihnen dort mehr Platz zur Verfügung gestanden habe. Aufgrund dieser Abklärungen stehe fest, dass mehrere Aussagen betreffend die Bedrohung seitens der Brüder von F._______ nicht der Wahrheit entsprechen würden. Dies hätten die Beschwerdeführenden in ihrer Stellungnahme anerkannt und gleichzeitig die Bedrohungen auf sich beschränkt. Zu Art. 3 AsylG hält die Vorinstanz fest, gemäss den Abklärungen durch die Botschaft stehe fest, dass es im Zusammenhang mit der Auflösung der Verlobung Probleme gehabt habe. Die Brüder von F._______ hätten sich im Wohnquartier nach dem Beschwerdeführer erkundigt. Weitere Belästigungen hätten nicht stattgefunden. Sodann sei die Polizei bei dieser Art von Belästigungen nicht in der Lage, ihre Schutzfunktion auszuüben oder die geltend gemachte Verfolgung durch Dritte präventiv zu verhindern. Überdies habe der Beschwerdeführer darauf verzichtet, die Polizei zu orientieren. Daraus könne gefolgert werden, dass die stattgefundenen Behelligungen von eher geringer Intensität gewesen seien. Hätten die Gebrüder sich am Beschwerdeführer rächen wollen, hätten sie dazu hinreichend Möglichkeiten gehabt. Bei den Belästigungen handle es sich somit vornehmlich um Drohgebärden.</w:t>
      </w:r>
    </w:p>
    <w:p>
      <w:r>
        <w:rPr>
          <w:b/>
        </w:rPr>
        <w:t>E. 4.2</w:t>
      </w:r>
    </w:p>
    <w:p>
      <w:r>
        <w:t>Die Beschwerdeführenden setzen sich mit den Erwägungen der Vorinstanz nicht auseinander und zeigen nicht auf, inwiefern die angefochtene Verfügung Bundesrecht verletzen oder aus einem anderen Grund zu beanstanden sein soll. Solches ist auch nicht ersichtlich. Die Vorinstanz hat namentlich das angeführte Ausmass der Drohungen durch die Brüder von F._______, die Flucht des Vaters und Bruders des Beschwerdeführers nach Mazedonien sowie den Grund für den Wechsel des Wohnsitzes nach G._______ als mit dem Abklärungsergebnis der Botschaft nicht vereinbar und damit als nicht glaubhaft bewertet. Dass sie dabei den Massstab des Glaubhaftmachens nicht richtig angewendet haben soll, wird in der Rechtsmitteleingabe nicht ansatzweise begründet. Weiter vermögen die Beschwerdeführenden aus den allgemeinen Ausführungen zur Blutrache im Kosovo nichts zu ihren Gunsten abzuleiten. Zwar ist mit der Vorinstanz (vgl. Vernehmlassung) nicht auszuschliessen, dass es in Kosovo in vereinzelten Fällen noch zu Vergeltungsmassnahmen in Form von Blutrache kommen kann. Hätten die Brüder von F._______ indes tatsächlich ernsthaft beabsichtigt, am Beschwerdeführer Blutrache zu nehmen, so hätten sie vor dessen Ausreise hinreichend Zeit und Möglichkeiten dazu gehabt. Sodann legen die Beschwerdeführenden nicht dar, inwiefern die Schutztheorie auf den vorliegenden Fall anwendbar sein soll. Und schliesslich zeigen sie mit dem Wiederholen der Aussagen und dem Festhalten daran, der Beschwerdeführer werde mit an Sicherheit grenzender Wahrscheinlichkeit seitens des Clans von F._______ schwer verletzt oder ermordet, auch nicht auf, inwiefern die Vorinstanz Bundesrecht verletzt habe. Um Wiederholungen zu vermeiden kann auf die Erwägungen in der angefochtenen Verfügung verweisen werden. Die Beschwerdeführenden haben somit nichts vorgebracht, das geeignet wäre, die Flüchtlingseigenschaft nachzuweisen oder glaubhaft zu machen. Die Vorinstanz hat die Asylgesuche demnach zu Recht abgelehnt.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nach Kosovo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6.3.1</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2009/28E. 9.3.1).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w:t>
      </w:r>
    </w:p>
    <w:p>
      <w:r>
        <w:rPr>
          <w:b/>
        </w:rPr>
        <w:t>E. 6.3.2</w:t>
      </w:r>
    </w:p>
    <w:p>
      <w:r>
        <w:t>Die Beschwerdeführenden machen geltend, aus medizinischen Gründen sei der Vollzug der Wegweisung nicht zumutbar. Die Beschwerdeführerin leide an Hepatitis B. Gemäss dem ärztlichen Zeugnis vom 31. März 2010 wurde bei der Beschwerdeführerin anlässlich der Geburt des zweiten Kindes eine Hepatitis B diagnostiziert. Dazu hält med. prakt. H._______ fest, aus medizinischer Sicht sei eine Therapie indiziert. Diese dauere mehrere Wochen bis zu einem Jahr. Im aktuellen ärztlichen Bericht vom 23. Mai 2012 hält die Ärztin fest, die Beschwerdeführerin stehe bezüglich der Hepatitiserkrankung unter regelmässiger Kontrolle. Zusätzlich leide die Beschwerdeführerin an Depressionen mit Schlafstörungen und Angstzuständen. Aufgrund dieser ärztlicher Ausführungen ist zu schliessen, dass eine medizinische Behandlung der Hepatitiserkrankung - sofern sie durchgeführt wurde - aufgrund der zeitlichen Verhältnisse zwischenzeitlich abgeschlossen sein müsste. Abgesehen von regelmässigen Kontrollen, welche im Arztzeugnis in keiner Weise näher dargelegt werden, sind offensichtlich keine medizinischen Massnahmen im Zusammenhang mit der diagnostizierten Hepatitis B erforderlich. Diese Kontrollen können indes nach den Erkenntnissen des Gerichts ohne Weiteres auch in Kosovo durchgeführt werden. Sodann sind dem ärztlichen Schreiben auch keine Hinweise auf eine aktuelle Behandlung der angeführten Depression zu entnehmen. Die Beschwerdeführerin ist demnach weder auf eine medizinische Behandlung in der Schweiz angewiesen, noch würde einer Rückkehr nach Kosovo zu einer lebensgefährdenden Beeinträchtigung ihres Gesundheitszustandes führten. Insgesamt liegen somit keine Hindernisse medizinischer Art vor, welche dem Vollzug der Wegweisung entgegenstehen würden. Schliesslich hat die Beschwerdeführerin die Möglichkeit, beim BFM einen Antrag auf medizinische Rückkehrhilfe zu stellen (vgl. Art. 93 Abs. 1 Bst. d AsylG i.V.m. Art. 75 der Asylverordnung 2 vom 11. August 1999 über Finanzierungsfragen [AsylV 2], SR 142.312 sowie die Weisungen des BFM vom 1. Januar 2008 betreffend Rückkehr- und Wiedereingliederungshilfe).</w:t>
      </w:r>
    </w:p>
    <w:p>
      <w:r>
        <w:rPr>
          <w:b/>
        </w:rPr>
        <w:t>E. 6.3.3</w:t>
      </w:r>
    </w:p>
    <w:p>
      <w:r>
        <w:t>Weitergehend bringen die Beschwerdeführenden in der Rechtsmitteleingabe nichts vor, was den Vollzug der Wegweisung als unzumutbar erscheinen liesse. Um Wiederholungen zu vermeiden kann vollumfänglich auf die zutreffenden Erwägungen in der angefochtenen Verfügung verwiesen werden.</w:t>
      </w:r>
    </w:p>
    <w:p>
      <w:r>
        <w:rPr>
          <w:b/>
        </w:rPr>
        <w:t>E. 6.4</w:t>
      </w:r>
    </w:p>
    <w:p>
      <w:r>
        <w:t>Es obliegt den Beschwerdeführenden sich bei der zuständigen Vertretung des Kosovos die für eine Rückkehr notwendigen Reisedokumente zu beschaffen (Art. 8 Abs. 4 AsylG; BVGE 2008/34 E. 12), weshalb der Vollzug der Wegweisung im Sinne von Art. 83 Abs. 2 AuG möglich ist.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1 - 3 des Reglements vom 21. Februar 2008 über die Kosten und Entschädigungen vor dem Bundesverwaltungsgericht [VGKE], SR 173.320.2) den Beschwerdeführenden aufzuerlegen (Art. 63 Abs. 1 VwVG) und mit dem am 30. März 2010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