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E-1324/2018 vom 23. März 2018</w:t>
      </w:r>
    </w:p>
    <w:p>
      <w:r>
        <w:t>Bundesverwaltungsgericht, 2018-03-23, DE</w:t>
      </w:r>
    </w:p>
    <w:p>
      <w:r>
        <w:rPr>
          <w:b/>
        </w:rPr>
        <w:t xml:space="preserve">Quelle: </w:t>
      </w:r>
      <w:r>
        <w:t>https://mcp.opencaselaw.ch/entscheid/bvger_E-1324_2018</w:t>
      </w:r>
    </w:p>
    <w:p>
      <w:r>
        <w:t>FR: TAF E-1324/2018 du 23 mars 2018</w:t>
      </w:r>
    </w:p>
    <w:p>
      <w:r>
        <w:t>IT: TAF E-1324/2018 del 23 marzo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2017/16 E. 3.1 und 2012/32 E. 5.1).</w:t>
      </w:r>
    </w:p>
    <w:p>
      <w:r>
        <w:rPr>
          <w:b/>
        </w:rPr>
        <w:t>E. 4.2</w:t>
      </w:r>
    </w:p>
    <w:p>
      <w:r>
        <w:t>Das Rechtsinstitut des Familienasyls bezweckt die Bewahrung von vorbestandenen Familiengemeinschaften beziehungsweise deren Wiederherstellung, sofern die Gemeinschaft alleine aufgrund der Fluchtumstände und somit unfreiwillig getrennt wurde (vgl. BVGE 2017/16 E. 3.1 und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 sowie BVGE 2017/16 E. 3.1).</w:t>
      </w:r>
    </w:p>
    <w:p>
      <w:r>
        <w:rPr>
          <w:b/>
        </w:rPr>
        <w:t>E. 5.1</w:t>
      </w:r>
    </w:p>
    <w:p>
      <w:r>
        <w:t>Die Vorinstanz führte zur Begründung ihres abweisenden Entscheids im Wesentlichen aus, es könne weder von einer Heirat noch einem gefestigten Zusammenleben in eheähnlicher Gemeinschaft vor der Ausreise des Beschwerdeführers aus Eritrea ausgegangen werden. Zudem sei auch das Erfordernis der Familientrennung durch Flucht nicht erfüllt. Es würden sich hinsichtlich der Beziehung zur vermeintlichen Konkubinatspartnerin des Beschwerdeführers mehrere Ungereimtheiten ergeben. So habe er bei der Befragung zur Person (BzP) ausgesagt, er habe nicht heiraten können, weil er katholisch sei und seine Partnerin orthodox. Zudem hätten sie nicht zusammengelebt. Widersprüchlich dazu habe er anlässlich der Bundesanhörung angegeben, sie hätten sich vor älteren Leuten ein Versprechen gegeben, jedoch keine religiöse Heirat geschlossen. Indessen hätten sie in Eritrea ein Jahr lang zusammen gelebt. Dieses Nachschieben lasse sich nicht mit den Asylvorbringen des Beschwerdeführers vereinbaren und stehe im Widerspruch dazu. Insbesondere habe er angegeben, zwischen 2009 und 2015 bei seiner Einheit in Eritrea seinen Nationaldienst geleistet zu haben.</w:t>
      </w:r>
    </w:p>
    <w:p>
      <w:r>
        <w:rPr>
          <w:b/>
        </w:rPr>
        <w:t>E. 5.2</w:t>
      </w:r>
    </w:p>
    <w:p>
      <w:r>
        <w:t>Der Beschwerdeführer macht demgegenüber geltend, die Vorinstanz habe das Vorhandensein einer eheähnlichen Lebensgemeinschaft verneint, obwohl er seine Konkubinatspartnerin bei der BzP als solche bezeichnet habe. Sie habe trotz seiner insgesamt glaubhaften Angaben zu seinen Asylgründen seine Aussagen in Bezug auf seine Konkubinatspartnerin als nicht glaubhaft erachtet. Dabei habe sie ausser Acht gelassen, dass die BzP wegen der hohen Frequentierung im EVZ stark verkürzt ausgefallen sei. Es würden zudem weitere Anhaltspunkte für das Bestehen einer vorbestandenen Lebensgemeinschaft vorhanden sein. Die Aussagen in der BzP seien auf ein Missverständnis zurückzuführen. So habe er in der Zeit seiner Beziehung zu B._______ die Kaserne in D._______ als Lebensmittelpunkt angegeben, da er seine Partnerin lediglich an den Wochenenden, an denen er sich unbemerkt von seiner Einheit habe entfernen können, habe besuchen können. Weiter stehe fest, dass er und seine Partnerin auf ihrer Flucht unfreiwillig getrennt worden seien. B._______ halte sich unterdessen in C._______ auf und sei vom UNHCR als Flüchtling registriert worden, was aus einer entsprechenden Bestätigung hervorgehe.</w:t>
      </w:r>
    </w:p>
    <w:p>
      <w:r>
        <w:rPr>
          <w:b/>
        </w:rPr>
        <w:t>E. 6.1</w:t>
      </w:r>
    </w:p>
    <w:p>
      <w:r>
        <w:t>Nach Prüfung der Akten gelangt das Bundesverwaltungsgericht zum Schluss, dass vorliegend - wie von der Vorinstanz zutreffend ausgeführt -nicht von einer vorbestandenen Familiengemeinschaft ausgegangen werden kann.</w:t>
      </w:r>
    </w:p>
    <w:p>
      <w:r>
        <w:rPr>
          <w:b/>
        </w:rPr>
        <w:t>E. 6.2</w:t>
      </w:r>
    </w:p>
    <w:p>
      <w:r>
        <w:t>Der Beschwerdeführer hat bei der BzP vom 20. August 2015 angegeben, seit April 2015 im Konkubinat mit B._______ zu sein (A4, S. 3). Die Frage, ob er mit ihr zusammengelebt habe, verneinte er ausdrücklich und ergänzte gleichzeitig, dass diese in E._______ gelebt habe. Die nochmalige Frage, ob er und B._______ erst seit ihrer Ausreise - diese fand im April 2015 gemeinsam statt (A4, S. 7) - zusammengelebt hätten, bejahte er (S.4). Diese klaren Antworten zum Konkubinat und dessen Dauer stehen damit im klaren Widerspruch zu seinen Angaben anlässlich der Anhörung vom 21. April 2017, wo er angab, ungefähr ein Jahr, von 2014 bis zur Ausreise mit B._______ zusammengelebt zu haben (A19 S. 10). Diese unterschiedlichen Aussagen können weder durch ein angebliches Missverständnis entstanden sein noch mit der stark verkürzten Befragung erklärt werden. Auch vermag der Beschwerdeführer mit dem Einwand, wonach er B._______ seit Beginn als Konkubinatspartnerin bezeichnet habe, eine vor der Flucht bestandene Lebensgemeinschaft nicht zu belegen. Es entsteht zudem der Eindruck, der Beschwerdeführer habe anlässlich der Anhörung seine Angaben zur Dauer seines Konkubinats angepasst, um die Chancen auf eine Familienzusammenführung zu erhöhen, indem er angab, er beabsichtige, seine Partnerin zu heiraten und deshalb ihre Reise in die Schweiz wünsche (A19 S. 10).</w:t>
      </w:r>
    </w:p>
    <w:p>
      <w:r>
        <w:rPr>
          <w:b/>
        </w:rPr>
        <w:t>E. 6.3</w:t>
      </w:r>
    </w:p>
    <w:p>
      <w:r>
        <w:t>Zusammenfassend ist somit festzustellen, dass nicht glaubhaft dargetan ist, dass zwischen dem Beschwerdeführer und B._______ eine tatsächlich gelebte und alleine durch die Flucht getrennte Beziehung im Heimatland im Sinne der Rechtsprechung bestanden hat. Da - wie erwähnt - die Einreisebewilligung zwecks Gewährung von Familienasyl nach Art. 51 Abs. 1 und 4 AsylG nicht der Aufnahme einer zuvor nicht gelebten Beziehung dient, sind die Voraussetzungen für die Erteilung einer Einreisebewilligung für B._______ nicht erfüllt. Das SEM hat demnach das Gesuch um Bewilligung der Einreise zwecks Familienzusammenführung im Sinne von Art. 51 Abs. 1 und 4 AsylG zu Recht und mit zutreffender Begründung abgelehnt. Es kann daher darauf verzichtet werden, auf die übrigen Erwägungen der Vorinstanz sowie auf weitere Darlegungen in der Beschwerdeschrift einzugehen.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8.1</w:t>
      </w:r>
    </w:p>
    <w:p>
      <w:r>
        <w:t>Mit vorliegendem Urteil wird der Antrag auf Verzicht auf die Erhebung eines Kostenvorschusses gegenstandslos. Der Antrag auf Gewährung der unentgeltlichen Rechtspflege im Sinne von Art. 65 Abs. 1 VwVG ist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