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E-1311/2025 vom 12. März 2025</w:t>
      </w:r>
    </w:p>
    <w:p>
      <w:r>
        <w:t>Bundesverwaltungsgericht, 2025-03-12, FR</w:t>
      </w:r>
    </w:p>
    <w:p>
      <w:r>
        <w:rPr>
          <w:b/>
        </w:rPr>
        <w:t xml:space="preserve">Quelle: </w:t>
      </w:r>
      <w:r>
        <w:t>https://mcp.opencaselaw.ch/entscheid/bvger_E-1311_2025</w:t>
      </w:r>
    </w:p>
    <w:p>
      <w:r>
        <w:t>FR: TAF E-1311/2025 du 12 mars 2025</w:t>
      </w:r>
    </w:p>
    <w:p>
      <w:r>
        <w:t>IT: TAF E-1311/2025 del 12 marzo 2025</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présent.</w:t>
      </w:r>
    </w:p>
    <w:p>
      <w:r>
        <w:rPr>
          <w:b/>
        </w:rPr>
        <w:t>E. 1.2</w:t>
      </w:r>
    </w:p>
    <w:p>
      <w:r>
        <w:t>L'intéressé a qualité pour recourir (art. 48 al. 1 PA) ; présenté dans la forme (art. 52 al. 1 PA) et le délai (art. 108 al. 3 LAsi) prescrits par la loi, le recours est recevable.</w:t>
      </w:r>
    </w:p>
    <w:p>
      <w:r>
        <w:rPr>
          <w:b/>
        </w:rPr>
        <w:t>E. 1.3</w:t>
      </w:r>
    </w:p>
    <w:p>
      <w:r>
        <w:t>Il est renoncé à un échange d'écritures (art. 111a al. 1 LAsi).</w:t>
      </w:r>
    </w:p>
    <w:p>
      <w:r>
        <w:rPr>
          <w:b/>
        </w:rPr>
        <w:t>E. 1.4</w:t>
      </w:r>
    </w:p>
    <w:p>
      <w:r>
        <w:t>A titre préliminaire, le Tribunal relève que le recours déposé par le fils du recourant (E-7999/2024) fait l'objet d'un arrêt daté du même jour et rendu par le même collège de juges.</w:t>
      </w:r>
    </w:p>
    <w:p>
      <w:r>
        <w:rPr>
          <w:b/>
        </w:rPr>
        <w:t>E. 2</w:t>
      </w:r>
    </w:p>
    <w:p>
      <w:r>
        <w:t>L'intéressé ne conteste pas la décision du SEM du 20 février 2025 en tant qu'elle refuse d'entrer en matière sur sa demande d'asile et prononce son renvoi de Suisse, de sorte que les chiffres 1 et 2 de son dispositif sont entrés en force de chose décidée. Seule demeure dès lors litigieuse la question de l'exécution du renvoi.</w:t>
      </w:r>
    </w:p>
    <w:p>
      <w:r>
        <w:rPr>
          <w:b/>
        </w:rPr>
        <w:t>E. 3</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4.2</w:t>
      </w:r>
    </w:p>
    <w:p>
      <w:r>
        <w:t>En l'occurrence, l'exécution du renvoi ne contrevient pas au principe de non-refoulement de l'art. 5 LAsi, dès lors que le SEM n'est pas entré en matière sur la demande d'asile du recourant (vu l'absence de demande de protection contre des persécutions) et que celui-ci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Ayant déposé une demande d'asile en Suisse dans l'unique but de pouvoir bénéficier de soins médicaux, se pose exclusivement la question de savoir, si les problèmes de santé invoqués par le recourant rendent l'exécution de son renvoi illicite sous l'angle de cette disposition conventionnelle. Selon la jurisprudence de la Cour européenne des droits de l'Homme (ci-après : CourEDH ; cf. arrêt Paposhvili c. Belgique [GC] du 13 décembre 2016, requête n°41738/10), le retour forcé des personnes touchées dans leur santé n'est susceptible de constituer une violation de l'art. 3 CEDH que dans des situations très exceptionnelles.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CourEDH, arrêt Paposhvili précité, par. 183 ; cf. également arrêt Savran c. Danemark [GC] du 7 décembre 2021, requête no 57467/15, par. 133).</w:t>
      </w:r>
    </w:p>
    <w:p>
      <w:r>
        <w:rPr>
          <w:b/>
        </w:rPr>
        <w:t>E. 4.5</w:t>
      </w:r>
    </w:p>
    <w:p>
      <w:r>
        <w:t>Dans la mesure où, comme exposé ci-dessous (cf. consid. 5.5), le recourant disposera d'un accès effectif à un traitement médical adéquat dans son pays d'origine, il n'est pas établi qu'il sera exposé, en raison de son état de santé, à un risque réel de se voir infliger des traitements contraires à l'art. 3 CEDH au sens de la jurisprudence susmentionnée. D'autres facteurs favorables sont du reste présents, comme cela sera explicité ci-après.</w:t>
      </w:r>
    </w:p>
    <w:p>
      <w:r>
        <w:rPr>
          <w:b/>
        </w:rPr>
        <w:t>E. 4.6</w:t>
      </w:r>
    </w:p>
    <w:p>
      <w:r>
        <w:t>Dès lors, l'exécution du renvoi du recourant ne transgresse aucun engagement de la Suisse relevant du droit international, de sorte qu'elle s'avère licite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5.3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1er octobre 2019, le Conseil fédéral a en outre désigné ce pays comme un Etat d'origine ou de provenance dans lequel le retour d'un étranger est présumé raisonnablement exigible (art. 83 al. 5 LEI). Cette présomption, dont le bien-fondé est soumis à un contrôle périodique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w:t>
      </w:r>
    </w:p>
    <w:p>
      <w:r>
        <w:rPr>
          <w:b/>
        </w:rPr>
        <w:t>E. 5.4</w:t>
      </w:r>
    </w:p>
    <w:p>
      <w:r>
        <w:t>En l'occurrence, il convient de déterminer si la situation personnelle du recourant est à même de les mettre concrètement en danger en cas de retour, en raison de ses problèmes de santé.</w:t>
      </w:r>
    </w:p>
    <w:p>
      <w:r>
        <w:rPr>
          <w:b/>
        </w:rPr>
        <w:t>E. 5.5</w:t>
      </w:r>
    </w:p>
    <w:p>
      <w:r>
        <w:t>Il ressort des rapports médicaux au dossier et de ses déclarations que A._______ s'est vu diagnostiquer en Géorgie une leucémie myéloïde aiguë. A son arrivée en Suisse, il a bénéficié de trois cycles de chimiothérapie suivis, en décembre 2023, d'une transplantation allogénique de cellules souches hématopoïétiques issues de son fils. Depuis cette intervention, il a fait l'objet d'un suivi médical rapproché afin de surveiller l'évolution de son état de santé et d'adapter son traitement en conséquence. Dans ce cadre, une prophylaxie a été mise en place afin de prévenir les infections opportunistes et les complications immunitaires. Peu de temps après l'intervention, il a d'ailleurs développé une maladie du greffon contre l'hôte (Graft-versus-Host Disease, GvHD) touchant la peau, une complication fréquente après une allogreffe. Cette réaction immunitaire a entretemps disparu. Parallèlement au traitement prophylactique, une thérapie de maintenance au Sorafénib a été initiée le 15 mars 2024, avec une durée prévisionnelle de 24 mois. Ce traitement vise à limiter le risque de rechute de la leucémie en bloquant les voies de signalisation impliquées dans la prolifération des cellules leucémiques. L'évolution à six mois post-greffe est jugée encourageante. Selon les rapports médicaux produits, le recourant est en rémission hématologique complète. En particulier, aucune trace de cellules leucémiques porteuses de la mutation NPM1 n'est relevée, et un chimérisme 100 % donneur est constaté, indiquant que l'ensemble de ses cellules hématopoïétiques proviennent du donneur (ce qui constitue l'objectif recherché après une greffe). L'immunosuppression est en outre en cours de sevrage, traduisant ainsi une amélioration progressive de la tolérance immunitaire. Toutefois, en raison d'une reconstitution immune encore incomplète, les traitements prophylactiques demeurent nécessaires. A la suite d'une demande d'actualisation de l'état de santé du 25 novembre 2024, accompagnée de questions précises adressées au personnel soignant des (...), une attestation du 11 décembre 2024, comprenant notamment une liste des traitements en cours, a été transmise au SEM. Il en ressort que la prophylaxie contre la GvHD a été arrêtée et que l'interruption de l'immunosuppression quelques mois après l'allogreffe s'inscrit dans une procédure usuelle visant à maximiser l'effet Graft-versus-Leukemia (GVL). La cheffe de clinique signataire précise en outre que le recourant poursuit son traitement au Sorafénib (200 mg deux fois par jour), qu'il tolère bien sur les plans clinique et biologique. Elle ajoute que le risque de GvHD demeure, nécessitant une surveillance médicale mensuelle "à très long terme". De surcroît, une surveillance dermatologique, endocrinienne et oncologique est requise sur le long court afin de détecter d'éventuelles complications secondaires. Les pièces versées au dossier attestent de l'existence de diverses pathologies concomitantes. Parmi celles-ci figurent une gammapathie monoclonale, un diabète de type 2 ne nécessitant pas d'insulinothérapie, une hypertension artérielle traitée, une rétinopathie diabétique non proliférante sévère bilatérale, une hépatite B ancienne ainsi qu'une atteinte neurosensorielle bilatérale, plus prononcée à gauche en raison d'un schwannome vestibulo-cochléaire affectant l'oreille interne. Ces différentes affections font l'objet d'une prise en charge pluridisciplinaire aux (...). Début janvier 2025, le recourant a en outre subi une intervention chirurgicale à la hanche en raison d'une dysplasie ayant entraîné une arthrose sévère. Selon un certificat médical du 30 décembre 2024, remis par son fils dans le cadre de la procédure de ce dernier, cette opération implique une période d'alitement de quelques semaines, suivie d'une rééducation. Au vu de ce qui précède, l'état de santé est suffisamment établi pour apprécier si celui-ci fait obstacle à l'exécution du renvoi, de sorte que la requête du recourant tendant à l'obtention d'un délai pour produire des documents médicaux complémentaires est rejetée.</w:t>
      </w:r>
    </w:p>
    <w:p>
      <w:r>
        <w:rPr>
          <w:b/>
        </w:rPr>
        <w:t>E. 5.6</w:t>
      </w:r>
    </w:p>
    <w:p>
      <w:r>
        <w:t>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arrêts du Tribunal D-7612/2024 du 16 décembre 2024 consid. 7.5 ;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 S'il n'est pas exclu que les patients doivent parfois supporter une partie du coût des médicaments, ils peuvent s'adresser, en cas d'incapacité financière, à la "Referal Service Commission", qui complète dans certains cas les services fournis par l'assurance universelle (Universal Health Care ; ci-après : l'UHC), notamment pour les familles jugées vulnérables (cf. arrêt du Tribunal D-3855/2022 du 14 septembre 2022). En ce qui concerne les groupes vulnérables, les enfants et les retraités, ils bénéficient de toutes les prestations de l'UHC. En octobre 2023, le gouvernement géorgien a décidé de prendre en charge les traitements oncologiques de tous les assurés, sans distinction de revenus (cf. Georgia Today, Georgia's Healthcare Initiative : Equal Access to Oncological Treatment for All, 30 octobre 2023, &lt;https://georgiatoday.ge/georgias-healthcare-initiative-equal-access-to-oncological-treatment-for-all/&gt;, consulté le 5.03.2025 ; également Civil Georgia, Ministry of Health Expands Access to Cancer Treatment, 9 août 2023, https://civil.ge/archives/555238 , consulté le 5.03.2025). Dès le mois suivant, un mécanisme d'accord d'accès conditionné a été instauré pour faciliter l'introduction de traitements innovants contre le cancer. Par ailleurs, à compter de 2024, la limite annuelle de 25 000 GEL pour le remboursement des médicaments anticancéreux a été supprimée (cf. European Observatory on Health Systems and Policies and World Health Organization Europe, Health systems in action : Georgia, 4 décembre 2024, &lt;https://eurohealthobservatory.who.int/publications/ i/health-systems-in-action-georgia-2024&gt;, consulté 5.03.2025).</w:t>
      </w:r>
    </w:p>
    <w:p>
      <w:r>
        <w:rPr>
          <w:b/>
        </w:rPr>
        <w:t>E. 5.7</w:t>
      </w:r>
    </w:p>
    <w:p>
      <w:r>
        <w:t>Les problèmes de santé du recourant relèvent d'une situation clinique sérieuse et ne sauraient en aucun cas être minimisés. Cela dit, le Tribunal estime que ses affections ne constituent, en l'occurrence, pas un obstacle à l'exécution de son renvoi.</w:t>
      </w:r>
    </w:p>
    <w:p>
      <w:r>
        <w:rPr>
          <w:b/>
        </w:rPr>
        <w:t>E. 5.8</w:t>
      </w:r>
    </w:p>
    <w:p>
      <w:r>
        <w:t>Ainsi que l'a retenu le SEM dans sa décision sur la base d'un consulting médical de qualité, la Géorgie dispose de structures de soins de nature à assurer un suivi et une prise en charge des affections de l'intéressé. Ce consulting médical, qui s'appuie notamment sur des investigations menées par le programme Medical Country of Origin Information (MedCOI) de l'Agence de l'Union européenne pour l'asile (EUAA), confirme en effet l'accessibilité de traitements spécialisés en hématologie et en oncologie dans le pays, au High Technology Medical Centre de Tbilissi. Cette structure prend en particulier en charge le suivi post-transplantation allogénique de cellules souches hématopoïétiques, incluant la surveillance et le traitement d'éventuelles complications, telles qu'une maladie du greffon contre l'hôte (GvDH), ainsi que le contrôle de la leucémie myéloïde aiguë et d'autres pathologies oncologiques. Autrement dit, le recourant pourra bénéficier à son retour d'un suivi médical adapté tenant compte de la greffe réalisée en Suisse en décembre 2023, dont l'évolution est jusqu'à présent favorable. Par ailleurs, selon ce même consulting, l'ensemble des médicaments nécessaires au traitement de l'intéressé est disponible dans son pays d'origine, qu'il s'agisse de prophylactiques, de la thérapie de maintenance ou d'autres substances requises. La seule exception signalée concerne l'Entécavir, prescrit pour prévenir une réactivation du virus de l'hépatite B. Toutefois, ce médicament peut être remplacé par une molécule équivalente, disponible notamment dans les pharmacies Aversi. Quant au Sorafénib, essentiel à la thérapie de maintenance, il est accessible dans la plupart des pharmacies du pays. Il figure par ailleurs sur la liste des médicaments oncologiques pouvant être pris en charge dans le cadre de l'UHC. En ce qui concerne plus précisément les affirmations du recourant selon lesquelles il nécessiterait un traitement à base de Midostaurine en raison d'une prétendue intolérance au Sorafénib, celles-ci ne sont pas corroborées par le personnel médical (...). Au contraire, en réponse à une question spécifique du SEM, la cheffe de clinique a précisé, dans une attestation du 11 décembre 2024, que le recourant tolérait bien son traitement au Sorafénib, sa posologie ayant tout au plus été ajustée en raison d'effets secondaires mineurs. Le Tribunal fait sienne l'argumentation du SEM selon laquelle la Géorgie dispose de structures de soins de nature à suivre et prendre en charge les autres affections somatiques dont souffre l'intéressé. Celui-ci pourra en effet accéder en Géorgie aux traitements, médicaments et soins qui lui sont nécessaires pour ses autres comorbidités et bénéficier d'une couverture financière de ceux-ci, du moins pour une grande partie, par l'UHC. Le fait que les standards locaux de prise en charge puissent être inférieurs en Géorgie à ceux élevés trouvés en Suisse n'est en l'état pas pertinent.</w:t>
      </w:r>
    </w:p>
    <w:p>
      <w:r>
        <w:rPr>
          <w:b/>
        </w:rPr>
        <w:t>E. 5.9</w:t>
      </w:r>
    </w:p>
    <w:p>
      <w:r>
        <w:t>Concernant la réinstallation du recourant dans son pays d'origine, le Tribunal reconnaît qu'elle représentera une épreuve et exigera de sa part des efforts importants. Cela dit, compte tenu de la décision de renvoi de son fils en Géorgie, arrêtée par le SEM le 18 novembre 2024 et confirmée ce jour par arrêt E-7999/2024, il pourra bénéficier de son soutien tant au moment de son rapatriement qu'après son retour. Celui-ci pourra notamment continuer à le soutenir dans son quotidien et l'assister lors de ses déplacements. En outre, le recourant pourra compter sur un réseau familial, comprenant notamment son épouse et deux frères, disposant tous deux d'un logement à Tbilissi. Ainsi, même si son village d'origine se situe à environ trois heures de la capitale, rien ne s'oppose à ce qu'il séjourne auprès d'eux lorsqu'il devra se rendre à des consultations médicales. Il pourra également compter sur l'aide, principalement financière, de sa fille résidant en Allemagne.</w:t>
      </w:r>
    </w:p>
    <w:p>
      <w:r>
        <w:rPr>
          <w:b/>
        </w:rPr>
        <w:t>E. 5.10</w:t>
      </w:r>
    </w:p>
    <w:p>
      <w:r>
        <w:t>A cela s'ajoute que le recourant pourra se constituer une réserve de médicaments avant son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5.11</w:t>
      </w:r>
    </w:p>
    <w:p>
      <w:r>
        <w:t>Cela étant, il appartiendra aux autorités suisses chargées de la mise en oeuvre de l'exécution du renvoi de tenir compte de l'état de santé de l'intéressé au moment du refoulement effectif et de prendre les mesures qui pourraient alors être éventuellement nécessaires, en veillant tout particulièrement à informer préalablement les autorités géorgiennes compétentes et à faire en sorte qu'il soit pris en charge dès son arrivée, de sorte à éviter toute interruption du traitement.</w:t>
      </w:r>
    </w:p>
    <w:p>
      <w:r>
        <w:rPr>
          <w:b/>
        </w:rPr>
        <w:t>E. 5.12</w:t>
      </w:r>
    </w:p>
    <w:p>
      <w:r>
        <w:t>Dès lors, compte tenu de ce qui précède, le recourant n'a pas produit un faisceau d'indices objectifs et concrets permettant de renverser la présomption selon laquelle l'exécution de son renvoi en Géorgie est raisonnablement exigible (art. 83 al. 4 et 5 LEI).</w:t>
      </w:r>
    </w:p>
    <w:p>
      <w:r>
        <w:rPr>
          <w:b/>
        </w:rPr>
        <w:t>E. 6</w:t>
      </w:r>
    </w:p>
    <w:p>
      <w:r>
        <w:t>Enfin, l'exécution du renvoi est possible (art. 83 al. 2 LEI ; cf. ATAF 2008/34 consid. 12 et jurisp. cit.), le recourant étant en possession d'un passeport biométrique en cours de validité lui permettant de rentrer dans son pays d'origine.</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Il s'ensuit que le recours doit être rejeté.</w:t>
      </w:r>
    </w:p>
    <w:p>
      <w:r>
        <w:rPr>
          <w:b/>
        </w:rPr>
        <w:t>E. 8</w:t>
      </w:r>
    </w:p>
    <w:p>
      <w:r>
        <w:t>Le présent arrêt immédiat rend sans objet la demande d'exemption de versement d'une avance de frais.</w:t>
      </w:r>
    </w:p>
    <w:p>
      <w:r>
        <w:rPr>
          <w:b/>
        </w:rPr>
        <w:t>E. 9.1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