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E-1310/2018 vom 12. März 2018</w:t>
      </w:r>
    </w:p>
    <w:p>
      <w:r>
        <w:t>Bundesverwaltungsgericht, 2018-03-12, DE</w:t>
      </w:r>
    </w:p>
    <w:p>
      <w:r>
        <w:rPr>
          <w:b/>
        </w:rPr>
        <w:t xml:space="preserve">Quelle: </w:t>
      </w:r>
      <w:r>
        <w:t>https://mcp.opencaselaw.ch/entscheid/bvger_E-1310_2018</w:t>
      </w:r>
    </w:p>
    <w:p>
      <w:r>
        <w:t>FR: TAF E-1310/2018 du 12 mars 2018</w:t>
      </w:r>
    </w:p>
    <w:p>
      <w:r>
        <w:t>IT: TAF E-1310/2018 del 12 marzo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des Beschwerdeführers in die Testphase des Verfahrenszentrums Zürich kommt die Verordnung vom 4. September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VwVG). Auf die frist- und formgerecht eingereichte Beschwerde ist einzutreten (Art. 112 Abs. 3 AsylG i.V.m. Art. 38 TestV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 unter Nennung einer Vielzahl von Beispielen - im Wesentlichen zum Schluss, die dargelegte Verfolgung könne nicht geglaubt werden. Insgesamt könne der Beschwerdeführer kein Profil als Verräter glaubhaft machen, aufgrund dessen auf eine ernstzunehmende Gefahr für die Karriere öffentlicher Persönlichkeiten zu schliessen sei. Seine Fluchtgeschichte sei stereotyp, zurechtgelegt und es fehle - trotz mehrmaligem Nachfragen - an emotionalen Reaktionen. Es sei zudem nicht nachvollziehbar, weshalb er nach so langer Zeit, und aufgrund seiner unwesentlichen Rolle im Jahr 2009, noch auf die vorgetragene Weise bis ins Jahr 2017 verfolgt und bedroht worden sein solle. Hätten diese Personen tatsächlich ein derart grosses Interesse an der Person des Beschwerdeführers gehabt, wäre es H. ein Leichtes gewesen, ihn tatsächlich zu beseitigen, anstatt jedes Mal lediglich Drohungen auszusprechen.</w:t>
      </w:r>
    </w:p>
    <w:p>
      <w:r>
        <w:rPr>
          <w:b/>
        </w:rPr>
        <w:t>E. 4.2</w:t>
      </w:r>
    </w:p>
    <w:p>
      <w:r>
        <w:t>Neben einer ausführlichen Wiederholung des Sachverhalts stellt der Beschwerdeführer der vorinstanzlichen Verfügung auf Beschwerdeebene entgegen, er sei in den Befragungen nicht ängstlich, ärgerlich oder depressiv, sondern eher nervös und traurig gewesen. Er habe keine Angst gezeigt, weil er sich in den Befragungen sicher gefühlt habe. Diese Leute hätten ihm gesagt, wenn er zurückkommen würde, würden sie gegen ihn vorgehen.</w:t>
      </w:r>
    </w:p>
    <w:p>
      <w:r>
        <w:rPr>
          <w:b/>
        </w:rPr>
        <w:t>E. 4.3</w:t>
      </w:r>
    </w:p>
    <w:p>
      <w:r>
        <w:t>Die Vorinstanz hat den Massstab des Glaubhaftmachens nicht verkannt und auf den vorliegenden Fall korrekt angewendet. Ihre Schlussfolgerungen sind weder in tatsächlicher noch in rechtlicher Hinsicht zu beanstanden. In der angefochtenen Verfügung wird einlässlich begründet, welche Angaben unglaubhaft sind. Die Rechtsmitteleingabe erschöpft sich in weitschweifigen Wiederholungen des bereits bekannten Sachverhalts, womit sie nicht aufzeigt, inwiefern die vorinstanzliche Beweiswürdigung Bundesrecht verletzen oder zu einer rechtsfehlerhaften Sachverhaltsfeststellung führen soll. Solches ist auch nicht ersichtlich. Die Fluchtgeschichte des Beschwerdeführers (Sachverhalt, Bst. A) ist bereits in sich unglaubhaft. Hinzu kommt, dass die Schilderungen des Beschwerdeführers stereotyp sowie repetitiv ausgefallen sind und nicht von selbst Erlebtem zeugen. Es gelingt ihm nicht, ein Profil darzulegen, aufgrund dessen er glaubhaft gefährdet sein könnte. Es ist der Vorinstanz darin beizupflichten, dass es neben einer Vielzahl anderer Ungereimtheiten nicht nachvollziehbar ist, weshalb der Beschwerdeführer nach so langer Zeit und aufgrund seiner unwesentlichen Rolle im Jahr 2009 auf die vorgetragene Art und Weise bis ins Jahr 2017 verfolgt worden sein soll. Wäre er eine tatsächliche Gefahr für die angeblichen Machenschaften des Gouverneurs und dessen Entourage gewesen, wäre er in den vielen Jahren längst beseitigt worden. Der Beschwerdeführer konnte ein Visum beantragen und legal das Land verlassen, was ebenfalls gegen eine politische Verfolgung im vorgetragenen Masse spricht. Schliesslich fällt auf, dass die Rechtsvertretung des Verfahrenszentrums Zürich - die den Beschwerdeführer persönlich im Verlauf des Verfahrens kennengelernt hat - ihr Mandat niederlegte, ohne Beschwerde zu erheben. Die Rechtsmitteleingabe stellt der vorinstanzlichen Verfügung nichts Stichhaltiges entgegen. Die bereits aktenkundigen Beschwerdebeilagen hat die Vorinstanz zutreffend gewürdigt. Die neu eingereichten Fotos und Unterlagen (Sachverhalt, Bst. E) sind ebenfalls nicht geeignet, am Beweisergebnis etwas zu ändern beziehungsweise die unglaubhafte Fluchtgeschichte glaubhaft zu machen. So führt der Beschwerdeführer auch nicht ansatzweise aus, was seine eingereichten Unterlagen belegen sollen. In antizipierter Beweiswürdigung ist auf eine Übersetzung der nicht bereits übersetzten Unterlagen zu verzichten. Um Wiederholungen zu vermeiden, ist auf die ausführlichen und zutreffenden Erwägungen der Vorinstanz zu verweisen, die zu Recht die Flüchtlingseigenschaft abgelehnt hat.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so regelt das SEM das Anwesenheitsverhältnis nach den gesetzlichen Bestimmungen über die vorläufige Aufnahme von Ausländerinnen und Ausländern (Art. 44 Abs. 2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nach Venezuela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Trotz der fortwährenden politischen Probleme und der Wirtschaftskrise - mit teilweise von Gewalt geprägten Auseinandersetzungen - herrscht in Venezuela weder Bürgerkrieg noch eine landesweite Situation allgemeiner Gewalt. Der Wegweisungsvollzug ist daher generell zumutbar (Urteil des BVGer D-2194/2017 vom 27. April 2017 E. 7.3.1). Auch sprechen keine individuellen Gründe gegen einen Vollzug der Wegweisung. So handelt es sich beim Beschwerdeführer um einen erwachsenen, gesunden sowie selbstständigen Mann mit Schulabschluss und langjähriger Berufserfahrung vor Ort. Seine Selbstständigkeit hat er mit seiner Reise bis in die Schweiz unter Beweis gestellt. Vor diesem Hintergrund ändert es an der Zumutbarkeit des Wegweisungsvollzugs nichts, wenn seine Mutter, seine Schwester und seine Tochter planen, Venezuela allenfalls demnächst zu verlassen. Es ist ferner davon auszugehen, dass der Beschwerdeführer in Venezuela nach einem langen Berufsleben vor Ort über ein entsprechend grosses Beziehungsnetz verfügt, auf das er - wenn überhaupt notwendig - bei einer Reintegration zurückgreifen kann, auch wenn seine genannten Familienmitglieder ausreisen. Schliesslich ist bekannt, dass sich entsprechende Reisen, wie sie der Beschwerdeführer unternommen hat, nur die wohlhabende Schicht der Bevölkerung Venezuelas leisten kann. Hiervon ist abzuleiten, dass der Beschwerdeführer auch über die notwendigen finanziellen Mittel verfügt, um sich vor Ort wieder zu integrieren. Der Vollzug der Wegweisung ist zumutbar.</w:t>
      </w:r>
    </w:p>
    <w:p>
      <w:r>
        <w:rPr>
          <w:b/>
        </w:rPr>
        <w:t>E. 6.4</w:t>
      </w:r>
    </w:p>
    <w:p>
      <w:r>
        <w:t>Nach Art. 83 Abs. 2 AuG ist der Vollzug der Wegweisung auch als möglich zu bezeichnen, weil dem Beschwerdeführer obliegt, sich bei der zuständigen Vertretung die für eine Rückkehr notwendigen Reisedokumente zu beschaffen (vgl. Art. 8 Abs. 4 AsylG und dazu auch BVGE 2008/34 E. 12 S. 513-515).</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 Der Eventualantrag betreffend Wiederherstellung der aufschiebenden Wirkung ist gegenstandslos. Die aufschiebende Wirkung wurde der Beschwerde nicht entzogen (Art. 55 VwVG).</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Aus demselben Grund kann auch dem Gesuch um unentgeltliche Rechtsverbeiständung nicht stattgegeben werden.</w:t>
      </w:r>
    </w:p>
    <w:p>
      <w:r>
        <w:rPr>
          <w:b/>
        </w:rPr>
        <w:t>E. 8.3</w:t>
      </w:r>
    </w:p>
    <w:p>
      <w:r>
        <w:t>Bei diesem Ausgang des Verfahrens sind die Kosten von Fr. 750.- (Art. 1-3 des Reglements vom 21. Februar 2008 über die Kosten und Entschädigungen vor dem Bundesverwaltungsgericht [VGKE], SR 173.320.2) dem Beschwerdeführer aufzuerlegen (Art. 63 Abs. 1 VwVG).</w:t>
      </w:r>
    </w:p>
    <w:p>
      <w:r>
        <w:rPr>
          <w:b/>
        </w:rPr>
        <w:t>E. 8.4</w:t>
      </w:r>
    </w:p>
    <w:p>
      <w:r>
        <w:t>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