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E-1308/2016 vom 8. März 2016</w:t>
      </w:r>
    </w:p>
    <w:p>
      <w:r>
        <w:t>Bundesverwaltungsgericht, 2016-03-08, DE</w:t>
      </w:r>
    </w:p>
    <w:p>
      <w:r>
        <w:rPr>
          <w:b/>
        </w:rPr>
        <w:t xml:space="preserve">Quelle: </w:t>
      </w:r>
      <w:r>
        <w:t>https://mcp.opencaselaw.ch/entscheid/bvger_E-1308_2016</w:t>
      </w:r>
    </w:p>
    <w:p>
      <w:r>
        <w:t>FR: TAF E-1308/2016 du 8 mars 2016</w:t>
      </w:r>
    </w:p>
    <w:p>
      <w:r>
        <w:t>IT: TAF E-1308/2016 del 8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Gegenstand des vorliegenden Beschwerdeverfahrens bilden die Flüchtlingseigenschaft der Beschwerdeführerin, die Wegweisung und der Wegweisungsvollzug. Im Asylpunkt wurde die Verfügung von der Beschwerdeführerin nicht angefochten.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3.2</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4.1</w:t>
      </w:r>
    </w:p>
    <w:p>
      <w:r>
        <w:t>In Übereinstimmung mit der Vorinstanz und der Beschwerdeführerin geht das Gericht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4.2</w:t>
      </w:r>
    </w:p>
    <w:p>
      <w:r>
        <w:t>Die Vorinstanz führt in der angefochtenen Verfügung aus, der Beschwerdeführerin sei es nicht gelungen, ihre illegal Ausreise und damit subjektive Nachfluchtgründe glaubhaft zu machen. Sie lege ihre Ausreise auf widersprüchliche, substanzlose und unplausible Art und Weise dar. So widerspreche sie sich bezüglich der Zeit, die sie und ihre Begleiterin für die Ausreise gebraucht hätten und könne trotz mehrmaligem Nachfragen nicht sagen, wie sie sich orientiert hätten.</w:t>
      </w:r>
    </w:p>
    <w:p>
      <w:r>
        <w:rPr>
          <w:b/>
        </w:rPr>
        <w:t>E. 4.3</w:t>
      </w:r>
    </w:p>
    <w:p>
      <w:r>
        <w:t>Die Beschwerdeführerin wendet dagegen ein, sie habe bei den Befragungen durch die Vorinstanz nicht die ganze Wahrheit gesagt. Sie habe verschwiegen, dass sie mit Hilfe eines Schleppers ausgereist sei. Dem Schlepper habe sie versprechen müssen, dass sie ihn niemandem gegenüber erwähne. Sie habe jetzt realisiert, dass dies für sie schwere Konsequenzen habe und bereue es. Sie habe deshalb ihre Ausreise nochmals aufgeschrieben. Sie komme aus Eritrea, was von der Vorinstanz nicht angezweifelt werde, und sei im militärdienstpflichtigen Alter, weshalb sie grundsätzlich kein Ausreisevisum erhalten könne.</w:t>
      </w:r>
    </w:p>
    <w:p>
      <w:r>
        <w:rPr>
          <w:b/>
        </w:rPr>
        <w:t>E. 4.4</w:t>
      </w:r>
    </w:p>
    <w:p>
      <w:r>
        <w:t>Aufgrund der Akten stimmt das Gericht der Vorinstanz darin zu, dass die Vorbringen der Beschwerdeführerin zu ihrer angeblich illegalen Ausreise aus Eritrea unglaubhaft sind. Die Beweiswürdigung der Vorinstanz ist nicht zu beanstanden. So führt die Vorinstanz zutreffend aus, die Beschwerdeführerin widerspreche sich bezüglich der Dauer, die sie und ihre Begleiterin für die Grenzüberquerung gebraucht hätten. So gibt die Beschwerdeführerin in der BzP zu Protokoll, dies habe zwei Stunden gedauert (SEM-Akten, A3/12 S. 7), während sie in der Anhörung sagt, sie seien die ganze Nacht hindurch gelaufen (SEM-Akten, A16/20 F172). Dass dies in der BzP falsch übersetzt worden sei, wie die Beschwerdeführerin vorbringt, ist als Schutzbehauptung zu qualifizieren. So bestätigt die Beschwerdeführerin in der BzP unterschriftlich die Vollständigkeit und Richtigkeit ihrer Aussagen nach der Rückübersetzung Satz für Satz (SEM-Akten, A3/12 S. 9). Wie sie und ihre Kollegin sich orientiert hätten, kann sie auch auf mehrfaches Nachfragen hin nicht beantworten (SEM-Akten, A16/20 F187 ff.). Insgesamt ist ihre Schilderung der angeblich illegalen Ausreise äusserst substanzlos und ihre Antworten sind durchgehend einsilbig und ausweichend. Es ist offensichtlich, dass die Beschwerdeführerin das Geschilderte nicht selbst erlebt hat. Daran ändert auch nichts, dass die Beschwerdeführerin auf Beschwerdeebene eingesteht, dass sie der Vorinstanz in den Befragungen nicht die ganze Wahrheit erzählt habe. So wurde die Beschwerdeführerin in beiden Befragungen darauf aufmerksam gemacht, dass ihre Aussagen vertraulich behandelt werden und sie ohne Furcht sprechen könne (SEM-Akten, A3/12 S. 1 f. und A16/20 S. 2). Obwohl sie in der Anhörung vom Befrager darauf aufmerksam gemacht wurde, dass ihre Schilderung der Ausreise nicht glaubhaft sei, bestätigt die Beschwerdeführerin, dass sie die Wahrheit sage (SEM-Akten, A16/20 F194). Unter diesen Voraussetzungen muss der in englischer Sprache eingereichte Bericht der Beschwerdeführerin, in dem sie nochmals ihre angeblich illegale Ausreise schildert, als nachgeschoben und damit als unglaubhaft qualifiziert werden.</w:t>
      </w:r>
    </w:p>
    <w:p>
      <w:r>
        <w:rPr>
          <w:b/>
        </w:rPr>
        <w:t>E. 4.5</w:t>
      </w:r>
    </w:p>
    <w:p>
      <w:r>
        <w:t>Obwohl die Beschwerdeführerin die wahren Umstände ihrer Ausreise offensichtlich verheimlicht, lässt sich zwar (in Berücksichtigung der Erwägung 4.1)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4.1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im erstinstanzlichen Verfahren, welche im Übrigen ein schiefes Licht auf die persönliche Glaubwürdigkeit der Beschwerdeführerin werfen, und angesichts des vollständigen Fehlens nachvollziehbarer Erklärungen auf Beschwerdeebene festzustellen, dass sie das Vorliegen subjektiver Nachfluchtgründen nicht nachzuweisen oder zumindest glaubhaft zu machen vermag. Die Vorinstanz hat deshalb zu Recht die Flüchtlingseigenschaft der Beschwerdeführerin verneint.</w:t>
      </w:r>
    </w:p>
    <w:p>
      <w:r>
        <w:rPr>
          <w:b/>
        </w:rPr>
        <w:t>E. 5</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Herkunftsregionen zu forschen. Vermutungsweise ist deshalb davon auszugehen, einer Wegweisung stünden keine Vollzugshindernisse im gesetzlichen Sinne entgegen (statt vieler: Urteil des BVGer E-2450/2014 vom 22. Mai 2014).</w:t>
      </w:r>
    </w:p>
    <w:p>
      <w:r>
        <w:rPr>
          <w:b/>
        </w:rPr>
        <w:t>E. 6.3</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konkrete Anhaltspunkte dafür, dass sie für den Fall einer Ausschaffung nach Eritrea dort mit beachtlicher Wahrscheinlichkeit einer nach Art. 3 EMRK oder Art. 1 FoK verbotenen Strafe oder Behandlung ausgesetzt wäre. Der Vollzug der Wegweisung ist zulässig.</w:t>
      </w:r>
    </w:p>
    <w:p>
      <w:r>
        <w:rPr>
          <w:b/>
        </w:rPr>
        <w:t>E. 6.4</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6.4.1</w:t>
      </w:r>
    </w:p>
    <w:p>
      <w:r>
        <w:t>In Eritrea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(Entscheidungen und Mitteilungen der Schweizerischen Asyl­rekurs­kommission [EMARK] 2005 Nr. 12 E. 10.5 - 10.8; in neuerer Rechtsprechung vgl. Urteile des BVGer E-6845/2013 vom 10. Januar 2014 E. 7.2, E-6816/2014 vom 9. Juni 2015 und E-5237/2015 vom 20. Oktober 2015 E. 7.2).</w:t>
      </w:r>
    </w:p>
    <w:p>
      <w:r>
        <w:rPr>
          <w:b/>
        </w:rPr>
        <w:t>E. 6.4.2</w:t>
      </w:r>
    </w:p>
    <w:p>
      <w:r>
        <w:t>Bezüglich der persönlichen Situation der Beschwerdeführerin kann den vorinstanzlichen Erwägungen gefolgt werden. Zutreffend stellt die Vor­instanz fest, dass die Beschwerdeführerin ihre Mitwirkungspflicht im Asylverfahren grob verletzt hat. Sowohl im Asylpunkt als auch bezüglich ihrer angeblich illegalen Ausreise macht sie offensichtlich unglaubhafte Aussagen. Korrekt führt die Vorinstanz in ihrer Verfügung aus, dass der Beschwerdeführerin ebenfalls nicht geglaubt werden kann, dass sie verheiratet sei, zumal sie bezüglich der Geschwister ihres Ehemannes widersprüchliche Angaben macht (SEM-Akten, A3/12 S. 3 und A16/20 F74). Aus der Kopie ihrer Heiratsurkunde kann die Beschwerdeführerin nichts zu ihren Gunsten ableiten, zumal solche Dokumente nicht fälschungssicher sind. Überhaupt sind ihre Angaben zu ihrer persönlichen Situation durchgehend unsubstantiiert und oberflächlich. Zumindest geht aus ihren Aussagen hervor, dass sie in Eritrea auf ein soziales und familiäres Netz zurückgreifen kann, und dass sie angeblich über einen Onkel in Angola verfügt, der ihr USD 4'000.- für ihre Reise nach Europa bezahlt hat. Des Weiteren kann ihre persönliche Situation aufgrund ihrer unglaubhaften Aussagen nicht weiter beurteilt werden. In Anlehnung an Erwägung 6.2 ist deshalb davon auszugehen, dass der Wegweisung diesbezüglich keine gesetzlichen Wegweisungsvollzugshindernisse entgegenstehen. Der Vollzug der Wegweisung der Beschwerdeführerin nach Eritrea ist somit als zumutbar zu erachten.</w:t>
      </w:r>
    </w:p>
    <w:p>
      <w:r>
        <w:rPr>
          <w:b/>
        </w:rPr>
        <w:t>E. 6.5</w:t>
      </w:r>
    </w:p>
    <w:p>
      <w:r>
        <w:t>Es obliegt der Beschwerdeführerin, sich bei der zuständigen Vertretung ihres Heimatstaats die für eine Rückkehr notwendigen Reisedokumente zu beschaffen (Art. 8 Abs. 4 AsylG und dazu BVGE 2008/34 E. 12). Der Vollzug der Wegweisung ist möglich.</w:t>
      </w:r>
    </w:p>
    <w:p>
      <w:r>
        <w:rPr>
          <w:b/>
        </w:rPr>
        <w:t>E. 6.6</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ihre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