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E-1306/2024 vom 7. März 2024</w:t>
      </w:r>
    </w:p>
    <w:p>
      <w:r>
        <w:t>Bundesverwaltungsgericht, 2024-03-07, DE</w:t>
      </w:r>
    </w:p>
    <w:p>
      <w:r>
        <w:rPr>
          <w:b/>
        </w:rPr>
        <w:t xml:space="preserve">Quelle: </w:t>
      </w:r>
      <w:r>
        <w:t>https://mcp.opencaselaw.ch/entscheid/bvger_E-1306_2024</w:t>
      </w:r>
    </w:p>
    <w:p>
      <w:r>
        <w:t>FR: TAF E-1306/2024 du 7 mars 2024</w:t>
      </w:r>
    </w:p>
    <w:p>
      <w:r>
        <w:t>IT: TAF E-1306/2024 del 7 marzo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so auch vorliegend - endgültig (Art. 83 Bst. d Ziff. 1 BGG). Die Beschwerdeführenden sind zur Beschwerde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1.3</w:t>
      </w:r>
    </w:p>
    <w:p>
      <w:r>
        <w:t>Über offensichtlich unbegründete Beschwerden - wie die vorliegende - wird in einzelrichterlicher Zuständigkeit mit Zustimmung eines zweiten Richters beziehungsweise einer zweiten Richterin entschieden (Art. 111 Bst. e AsylG). Der Beschwerdeentscheid ist nur summarisch zu begründen (Art. 111a Abs. 2 AsylG).</w:t>
      </w:r>
    </w:p>
    <w:p>
      <w:r>
        <w:rPr>
          <w:b/>
        </w:rPr>
        <w:t>E. 1.4</w:t>
      </w:r>
    </w:p>
    <w:p>
      <w:r>
        <w:t>Auf einen Schriftenwechsel wurde in Anwendung von Art. 111a Abs. 1 AsylG verzichtet.</w:t>
      </w:r>
    </w:p>
    <w:p>
      <w:r>
        <w:rPr>
          <w:b/>
        </w:rPr>
        <w:t>E. 2</w:t>
      </w:r>
    </w:p>
    <w:p>
      <w:r>
        <w:t>Die Kognition und die zulässigen Rügen umfassen die Verletzung von Bundesrecht (einschliesslich Missbrauch und Überschreiten des Ermessens) sowie die unrichtige oder unvollständige Feststellung des rechtserheblichen Sachverhalts (Art. 106 Abs. 1 AsylG).</w:t>
      </w:r>
    </w:p>
    <w:p>
      <w:r>
        <w:rPr>
          <w:b/>
        </w:rPr>
        <w:t>E. 3</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nach Dublin-III-VO.</w:t>
      </w:r>
    </w:p>
    <w:p>
      <w:r>
        <w:rPr>
          <w:b/>
        </w:rPr>
        <w:t>E. 4</w:t>
      </w:r>
    </w:p>
    <w:p>
      <w:r>
        <w:t>Die Beschwerdeführenden machen geltend, dass eine Verletzung von Art. 5 Abs. 3 Dublin-III-VO vorliege, weil das Dublingespräch nach der Zustimmung der kroatischen Behörden vom 29. August 2023 am 5. September 2023 erfolgt sei und damit zu einem Zeitpunkt, als bereits über die Überstellung entschieden worden sei. Dieser Einwand widerspricht der Aktenlage. Entschieden über die Wegweisung in den zuständigen Dublinstaat hat das SEM in seiner damaligen Verfügung vom 7. September 2023 und damit nach dem Dublingespräch. Auch haben die anlässlich des Dublingesprächs getätigten Ausführungen der Beschwerdeführenden in der Verfügung (auch in der aktuellen, hier zu beurteilenden) Niederschlag gefunden. Zu Unrecht setzen die Beschwerdeführenden die Anfrage des als mutmasslich zuständig erachteten Dublinstaates respektive deren Antwort mit dem Entscheid betreffend Überstellung gleich. Dass das Dublingespräch zwingend vor einer Anfrage um Rückübernahme zu erfolgen hätte, lässt sich Art. 5 Abs. 3 Dublin-III-VO nicht entnehmen (Christian Filzwieser/Andrea Sprung, Dublin III-Verordnung, 2014, K6 zu Art. 5).</w:t>
      </w:r>
    </w:p>
    <w:p>
      <w:r>
        <w:rPr>
          <w:b/>
        </w:rPr>
        <w:t>E. 5.1</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eines Wiederaufnahmeverfahrens (engl.: take back) findet demgegenüber grundsätzlich keine (erneute) Zuständigkeitsprüfung nach Kapitel III statt (vgl. zum Ganzen BVGE 2017 VI/5 E. 6.2 und 8.2.1 m.w.H.). Die Zuständigkeit ergibt sich direkt aus Art. 18 Abs. 1 Bst. b-d beziehungsweise Art. 20 Abs. 5 Dublin-III-VO (vgl. statt vieler: Urteil des BVGer F-1959/2023 vom 19. April 2023 E. 3.2 m.w.H.).</w:t>
      </w:r>
    </w:p>
    <w:p>
      <w:r>
        <w:rPr>
          <w:b/>
        </w:rPr>
        <w:t>E. 5.2</w:t>
      </w:r>
    </w:p>
    <w:p>
      <w:r>
        <w:t>Ein Abgleich mit Eurodac ergab, dass die Beschwerdeführenden am 28. Juni 2023 in Kroatien ein Asylgesuch eingereicht haben. Dass die Beschwerdeführerin B._______ dies bestreitet, ändert nichts, zumal ein Mitgliedstaat auch dann für die Prüfung eines Antrags um internationalen Schutz zuständig ist, wenn die betreffende Person - ohne einen Asylantrag gestellt zu haben - illegal eingereist und erfasst worden ist (Art. 13 Abs. 1 Dublin-III-VO). Sodann haben die kroatischen Behörden der Wiederaufnahme der Beschwerdeführenden gestützt auf Art. 20 Abs. 5 Dublin-III-VO zugestimmt. Die grundsätzliche Zuständigkeit Kroatiens ist damit gegeben. Der Einwand, dass die Zuständigkeit zwischenzeitlich auf die Schweiz übergegangen wäre, hätte die Vorinstanz keine fehlbehafteten Anfragen an die kroatischen Behörden gerichtet, verfängt schon deshalb nicht, weil die Beschwerdeführenden ihre Beschwerde jeweils mit anderen als den zu den jeweiligen Kassationen führenden Einwänden begründeten und damit - unabhängig von der unklaren Zustimmung der kroatischen Behörden - eine Unterbrechung der Überstellungsfrist in Kauf nahmen.</w:t>
      </w:r>
    </w:p>
    <w:p>
      <w:r>
        <w:rPr>
          <w:b/>
        </w:rPr>
        <w:t>E. 6</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 Gemäss ständiger Rechtsprechung des Bundesverwaltungsgerichts weisen das Asylverfahren und die Aufnahmebedingungen in Kroatien keine systemischen Schwachstellen auf (vgl. unter vielen: Urteile des BVGer F-773/2024 vom 13. Februar 2024 E. 7.3; F-80/2024 vom 17. Januar 2024 E. 7.2; D-7179/2023 vom 8. Januar 2024 E. 6.2; je mit Hinweisen auf das Referenzurteil des BVGer E-1488/2020 vom 22. März 2023 E. 9.5). Demnach sind Dublin-Überstellungen nach Kroatien grundsätzlich sowohl in «take-charge» (Aufnahme) als auch in «take-back» (Wiederaufnahme) Verfahren zulässig. Daran vermag auch der Verweis in der Beschwerde auf verschiedene von vor dem Referenzurteil des BVGer E-1488/2020 datierende Berichte unterschiedlicher Organisationen nichts zu ändern. Nach dem Gesagten ist die Anwendung von Art. 3 Abs. 2 Dublin-III-VO nicht gerechtfertigt.</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(vgl. BVGE 2015/9 E. 8.2.1).</w:t>
      </w:r>
    </w:p>
    <w:p>
      <w:r>
        <w:rPr>
          <w:b/>
        </w:rPr>
        <w:t>E. 7.2</w:t>
      </w:r>
    </w:p>
    <w:p>
      <w:r>
        <w:t>Bei der Beurteilung des Selbsteintritts gilt zu beachten,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verpflichtet ist, seinen diesbezüglichen völkerrechtlichen Verpflichtungen nachzukommen.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Die Vermutung, Kroatien halte seine völkerrechtlichen Verpflichtungen ein, kann im Einzelfall widerlegt werden. Dazu muss die gesuchstellende Person konkrete Indizien dartun können, dass im Falle ihrer Überstellung zwingende völkerrechtliche Bestimmungen verletzt würden (vgl. BVGE 2010/45 E. 7.4 f.).</w:t>
      </w:r>
    </w:p>
    <w:p>
      <w:r>
        <w:rPr>
          <w:b/>
        </w:rPr>
        <w:t>E. 7.2.1</w:t>
      </w:r>
    </w:p>
    <w:p>
      <w:r>
        <w:t>Die von den Beschwerdeführenden bei der illegalen Einreise nach Kroatien geltend gemachten Vorkommnisse sind nicht zu beschönigen. Demgegenüber vermögen sie kein konkretes und ernsthaftes Risiko darzutun, die kroatischen Behörden würden in ihrem Fall bei der Rückkehr ihren völkerrechtlichen Verpflichtungen nicht nachkommen. Die Beschwerdeführenden werden sich, wie vom SEM zutreffend erläutert, nach der Dublin-Überstellung in einer anderen Situation wiederfinden als nach ihrer ersten (illegalen) Einreise nach Kroatien und weitere Abklärungen hierzu waren nicht erforderlich. Es bestehen keine Gründe für die Annahme, sie hätten keinen Zugang zu einem rechtsstaatlichen Asylverfahren und Kroatien werde den Grundsatz des Non-Refoulement missachten und sie zur Ausreise in ein Land zwingen, in dem ihr Leib, ihr Leben oder ihre Freiheit aus einem Grund nach Art. 3 Abs. 1 AsylG gefährdet ist oder in dem sie Gefahr laufen würden, zur Ausreise in ein solches Land gezwungen zu werden. Auf die zutreffende Erwägung in der angefochtenen Verfügung und die entsprechenden Hinweise kann verwiesen werden.</w:t>
      </w:r>
    </w:p>
    <w:p>
      <w:r>
        <w:rPr>
          <w:b/>
        </w:rPr>
        <w:t>E. 7.2.2</w:t>
      </w:r>
    </w:p>
    <w:p>
      <w:r>
        <w:t>Die Beschwerdeführenden leiden auch nicht an Erkrankungen, die aufgrund ihrer Schwere einer Wegweisung nach Kroatien unter dem Aspekt von Art. 3 EMRK entgegenstehen würden. Eine zwangsweise Rückweisung von Personen mit gesundheitlichen Problemen vermag nur ausnahmsweise einen Verstoss gegen Art. 3 EMRK darzustellen, etwa wenn eine schwerkranke Person durch die Abschiebung - mangels angemessener medizinischer Behandlung im Zielstaat - mit einem realen Risiko konfrontiert wäre, einer ernsten, raschen und unwiederbringlichem Verschlechterung ihres Gesundheitszustandes ausgesetzt zu werden, die zu intensivem Leiden oder einer erheblichen Verkürzung der Lebenserwartung führen würde (vgl. Urteile des EGMR Paposhvili gegen Belgien vom 13. Dezember 2016, Grosse Kammer 41738/10, §§ 180-193 m.w.H., bestätigt durch Savran gegen Dänemark 7. Dezember 2021, Grosse Kammer, 57467/15, §§ 121 ff.). Diese hohe Schwelle erreichen die Erkrankungen der Beschwerdeführenden nicht. Es ist ohne weiteres verständlich, dass das in Kroatien nach dem Grenzübertritt Erlebte für die Familie, und besonders für die Kinder, belastend war und ist. Dies führt aber nicht dazu, dass bei der Wegweisung nach Kroatien die hohe Schwelle einer künftigen Verletzung von Art. 3 EMRK erreicht wäre. Es ist an den Eltern, ihren Kindern zu vermitteln, dass sie in Kroatien in einem Camp untergebracht werden und nicht in Umstände kommen, die mit der Situation anlässlich ihrer Anhaltung unmittelbar nach der illegalen Einreise vergleichbar sein werden. Es ergeben sich auch keine Anhaltspunkte für die Annahme, dass die erforderliche medizinische Betreuung, mit den notwendigen Untersuchungen und Therapien in Kroatien nicht verfügbar respektive zugänglich wären (vgl. Referenzurteil a.a.O. E. 10.2 und E. 10.3). Die Mitgliedstaaten sind verpflichtet den Antragstellenden die erforderliche medizinische Versorgung zugänglich zu machen (Art. 19 Abs. 1 Aufnahmerichtlinie) und solchen mit besonderen Bedürfnissen die erforderliche medizinische oder sonstige Hilfe, einschliesslich psychologischer Betreuung, zu gewähren ist (Art. 19 Abs. 2 Aufnahmerichtlinie). Alle Asylsuchenden haben zudem ein Anrecht auf medizinische und psychosoziale Versorgung sowie einen Anspruch auf psychosoziale Betreuung und Unterstützung in geeigneten Gesundheitseinrichtungen. Die medizinische Versorgung wird durch Médecins du Monde (MdM) und die psychosoziale Versorgung durch das kroatische Rote Kreuz sichergestellt. Bei vorübergehenden Einschränkungen können sich die Beschwerdeführenden auch an die in Kroatien zuständigen Stellen oder karitative Organisationen wenden. MdM hat im Übrigen ihre Aktivitäten wieder aufgenommen, nachdem die weitere Finanzierung sichergestellt werden konnte (vgl. bspw. Urteil des BVGer E-6013/2023 vom 27. November 2023 E. 9.1 m.w.H.). Die Schweiz kommt für die Finanzierung auf, bis die kroatische Regierung das Mandat zur medizinischen Versorgung neu vergeben hat. Ein entsprechender Vertrag mit den zuständigen kroatischen Behörden wurde abgeschlossen (vgl. bspw. Urteile des BVGer D-4301/2023 vom 11. Januar 2024 E.4.4 und D-4302/2023 vom 11. Januar 2024 E.4.4).</w:t>
      </w:r>
    </w:p>
    <w:p>
      <w:r>
        <w:rPr>
          <w:b/>
        </w:rPr>
        <w:t>E. 7.2.3</w:t>
      </w:r>
    </w:p>
    <w:p>
      <w:r>
        <w:t>Entgegen dem Vorbringen in der Beschwerde ist sodann nicht ersichtlich, dass sich die Überstellungsfristen für die einzelnen Familienangehörigen unterscheiden würden beziehungsweise ihre Rücküberstellung nicht gemeinsam erfolgen sollte, wird doch in der angefochtenen Verfügung eine einheitliche Überstellungsfrist genannt.</w:t>
      </w:r>
    </w:p>
    <w:p>
      <w:r>
        <w:rPr>
          <w:b/>
        </w:rPr>
        <w:t>E. 7.3</w:t>
      </w:r>
    </w:p>
    <w:p>
      <w:r>
        <w:t>Nach dem Gesagten vermögen die Beschwerdeführenden die Vermutung, Kroatien halte seine völkerrechtlichen Verpflichtungen auch in ihrem Fall ein, nicht umzustossen. Demnach besteht auch kein Raum für die beantragte Einholung individueller Garantien. Das entsprechende Subeventualbegehren ist abzuweisen.</w:t>
      </w:r>
    </w:p>
    <w:p>
      <w:r>
        <w:rPr>
          <w:b/>
        </w:rPr>
        <w:t>E. 8</w:t>
      </w:r>
    </w:p>
    <w:p>
      <w:r>
        <w:t>Schliesslich ist die angefochtene Verfügung unter dem Blickwinkel der Anwendung der Kann-Bestimmung von Art. 29a Abs. 3 AsylV 1 - hinsichtlich derer das SEM über einen (durch das Bundesverwaltungsgericht lediglich eingeschränkt überprüfbaren) Ermessensspielraum verfügt - nicht zu beanstanden (vgl. BVGE 2015/9 E. 7 f. und Art. 106 Abs. 1 Bst. a und b AsylG). Soweit die Beschwerdeführenden monieren, die Vorinstanz habe das Kindeswohl nur unzureichend berücksichtigt, ist zunächst festzuhalten, dass die Kinder, anders als in der Beschwerde behauptet, sich im Rahmen des Dublingesprächs persönlich äussern konnten. Aus dem Übereinkommen vom 20. November 1989 über die Rechte des Kindes (KRK; SR 0.107) kann sodann kein Anspruch auf Aufenthalt im Staat mit den für ein Kind vorteilhaftesten Lebensbedingungen abgeleitet werden (vgl. das Urteil des BVGer E-474/2023 vom 16. Mai 2023 E. 6.3.5 m.H.). Bei der Prüfung des Kindeswohls steht vielmehr das grundlegende Bedürfnis von Kindern im Vordergrund, in möglichst engem Kontakt mit ihren Eltern aufwachsen zu können, soweit es ihrem Wohle nicht schadet. Die Eltern sind die nächsten Bezugspersonen der Kinder und diese werden mit ihnen zusammen nach Kroatien überstellt; den Akten sind keine Hinweise darauf zu entnehmen, dass die Kinder dort von ihren Eltern getrennt werden könnten. Auch aus der (sehr kurzen) Aufenthaltsdauer in der Schweiz können sie nichts zu ihren Gunsten ableiten. Schliesslich ist auch Kroatien Signatarstaat der KRK und kommt seinen daraus erwachsenen Verpflichtungen grundsätzlich nach. Mit der aktuellen Verfahrensdauer liegt sodann noch kein Faktor vor, welcher bei der Prüfung des humanitären Selbsteintritts in Betracht zu ziehen wäre (vgl. das Urteil des BVGer F-531/2021 vom 4. Januar 2024 E. 6.5.2 m.w.H.).</w:t>
      </w:r>
    </w:p>
    <w:p>
      <w:r>
        <w:rPr>
          <w:b/>
        </w:rPr>
        <w:t>E. 9</w:t>
      </w:r>
    </w:p>
    <w:p>
      <w:r>
        <w:t>Das SEM ist demnach zu Recht auf das Asylgesuch der Beschwerdeführenden nicht eingetreten und hat ihre Wegweisung nach Kroatien angeordnet (Art. 31a Abs. 1 Bst. b AsylG und Art. 44 AsylG). Die angefochtene Verfügung erweist sich als rechtmässig (Art. 106 Abs. 1 AsylG) und die Beschwerde ist abzuweisen.</w:t>
      </w:r>
    </w:p>
    <w:p>
      <w:r>
        <w:rPr>
          <w:b/>
        </w:rPr>
        <w:t>E. 10.1</w:t>
      </w:r>
    </w:p>
    <w:p>
      <w:r>
        <w:t>Das mit der Beschwerde gestellte Gesuch um Gewährung der unentgeltlichen Prozessführung ist abzuweisen, da die Begehren zum Zeitpunkt der Gesuchstellung als aussichtslos zu bezeichnen waren. Damit ist eine der kumulativen Voraussetzungen von Art. 65 Abs. 1 VwVG nicht erfüllt. Bei diesem Ausgang des Verfahrens sind die Kosten den unterliegenden Beschwerdeführern aufzuerlegen (Art. 63 Abs. 1 VwVG) und auf insgesamt Fr. 750.- festzusetzen (Art. 1-3 des Reglements vom 21. Februar 2008 über die Kosten und Entschädigungen vor dem Bundesverwaltungsgericht [VGKE, SR 173.320.2]).</w:t>
      </w:r>
    </w:p>
    <w:p>
      <w:r>
        <w:rPr>
          <w:b/>
        </w:rPr>
        <w:t>E. 10.2</w:t>
      </w:r>
    </w:p>
    <w:p>
      <w:r>
        <w:t>Ebenso abzuweisen ist das Gesuch um amtliche Rechtsverbeiständung im Sinne von Art. 102m Abs. 1 AsylG mangels Erfüllens der Voraussetzungen von Art. 65 Abs. 1 VwVG.</w:t>
      </w:r>
    </w:p>
    <w:p>
      <w:r>
        <w:rPr>
          <w:b/>
        </w:rPr>
        <w:t>E. 11</w:t>
      </w:r>
    </w:p>
    <w:p>
      <w:r>
        <w:t>Das Gesuch um Verzicht auf die Erhebung eines Kostenvorschusses sowie jenes um aufschiebende Wirkung erweisen sich mit vorliegendem Entscheid als gegenstandlos.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