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E-12/2008 vom 15. Mai 2012</w:t>
      </w:r>
    </w:p>
    <w:p>
      <w:r>
        <w:t>Bundesverwaltungsgericht, 2012-05-15, DE</w:t>
      </w:r>
    </w:p>
    <w:p>
      <w:r>
        <w:rPr>
          <w:b/>
        </w:rPr>
        <w:t xml:space="preserve">Quelle: </w:t>
      </w:r>
      <w:r>
        <w:t>https://mcp.opencaselaw.ch/entscheid/bvger_E-12_2008</w:t>
      </w:r>
    </w:p>
    <w:p>
      <w:r>
        <w:t>FR: TAF E-12/2008 du 15 mai 2012</w:t>
      </w:r>
    </w:p>
    <w:p>
      <w:r>
        <w:t>IT: TAF E-12/2008 del 15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dem auf Beschwerdeebene und in der Replik vom 18. Februar 2008 geäusserten Vorwurf einer spannungsgeladenen Anhörung, welche zu detailarmen Aussagen des Beschwerdeführers geführt hätten (vgl. Prozessgeschichte oben Bstn. E.a, G und H), rügt der Beschwerdeführer sinngemäss in formeller Hinsicht eine Verletzung des rechtlichen Gehörs. Die Anhörung hat nämlich im Allgemeinen den Sinn und Zweck, dem Asylsuchenden die Gelegenheit zu geben, sein Gesuch zu begründen. Damit soll garantiert werden, dass die Entscheidung nicht über den Kopf der Betroffenen hinweg ergeht. Das Recht auf vorgängige Anhörung vor Ergehen eines Entscheides stellt einen Teilbereich des Anspruchs auf rechtliches Gehör gemäss Art. 29 der Bundesverfassung der Schweizerischen Eidgenossenschaft vom 18. April 1999 (BV, SR 101) dar (vgl. BVGE 2007/30 E. 5.5.1., mit weiteren Hinweisen). Zu beachten ist allerdings, dass die Anhörung als wichtigste Konkretisierung des Anspruchs auf rechtliches Gehör nicht nur ein persönlichkeitsbezogenes Mitwirkungsrecht darstellt, sondern gleichzeitig auch der materiellen Sachverhaltsabklärung, die im Asylverfahren grundsätzlich von Amtes wegen durchzuführen ist (Art. 12 VwVG i.V.m. Art. 6 AsylG), dient. Diese behördliche Untersuchungspflicht wird durch die den Asylsuchenden gestützt auf Art. 8 AsylG auferlegte Mitwirkungspflicht eingeschränkt, wobei die Gesuchsteller insbesondere ihre Identität offen legen und bei der Anhörung ihre Asylgründe angeben müssen. Zwar schliesst diese behördliche Untersuchungspflicht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(vgl. BVGE 2007/30 E. 5.5.2., mit weiteren Hinweisen).</w:t>
      </w:r>
    </w:p>
    <w:p>
      <w:r>
        <w:rPr>
          <w:b/>
        </w:rPr>
        <w:t>E. 3.2</w:t>
      </w:r>
    </w:p>
    <w:p>
      <w:r>
        <w:t>Diese Ausführungen zeigen, dass der Beschwerdeführer mit seinen Argumenten nicht gehört werden kann. Das Bundesverwaltungsgericht verkennt zwar nicht, dass die vom Beschwerdeführer eingereichten Protokollstellen aufzeigen, dass der BFM-Befrager tatsächlich brüsk reagierte, als der Beschwerdeführer nicht in der von ihm gewünschten Weise auf seine Fragen antwortete. Obwohl dieses Verhalten des Befragers aus Sicht des Bundesverwaltungsgerichts bedauerlich erscheint, so kann den angegebenen Protokollstellen nicht - wie vom Beschwerdeführer geltend gemacht - entnommen werden, dass die Spannungen als so gravierend einzustufen wären und damit verfahrenstechnisch einen so erheblichen Einfluss auf das Aussageverhalten des Beschwerdeführers genommen hätten, als dass sie seine teilweise ausweichenden bzw. detailarmen Antworten zu erklären vermöchten. Den Beschwerdeführer trifft zwar aufgrund der behördlichen Untersuchungspflicht nicht die alleinige Beweisführungslast. Der Untersuchungsgrundsatz ändert aber nichts an der Verteilung der materiellen Beweislast, d.h. an der Regelung der Folgen der Beweislosigkeit: Der Entscheid fällt zu Ungunsten jener Partei aus, die aus dem unbewiesen gebliebenen Sachverhalt Rechte ableiten wollte (vgl. BGE 121 II 257, S. 266; 117 V 153, S. 158, 115 V 38, S. 44). Deshalb war der Beschwerdeführer im Rahmen der Mitwirkungspflicht gemäss Art. 8 AsylG gehalten - auch wenn er sich angeblich "missverstanden fühlte" - sich in seinem Interesse um detaillierte Antworten zu bemühen. Aus den angegebenen Protokollstellen ist ferner nicht ersichtlich, inwiefern der Befrager dem Beschwerdeführer nicht die Möglichkeit gegeben haben soll, seine Asylgründe detailliert darzulegen. Zusammenfassend liegt hinsichtlich des Befragungsverlaufs keine Verletzung des rechtlichen Gehörs vor.</w:t>
      </w:r>
    </w:p>
    <w:p>
      <w:r>
        <w:rPr>
          <w:b/>
        </w:rPr>
        <w:t>E. 3.3</w:t>
      </w:r>
    </w:p>
    <w:p>
      <w:r>
        <w:t>Das Bundesverwaltungsgericht stellt indessen gestützt auf den Untersuchungsgrundsatz gemäss Art. 12 VwVG fest, dass die Vorinstanz dadurch, dass sie in ihrer Verfügung vom 29. November 2007 zur Zumutbarkeit des Wegweisungsvollzugs lediglich feststellte, mangels Bürgerkriegs bzw. flächendeckender Gewalt im Kongo könne von einer dortigen "konkreten Gefährdung der Bevölkerung" nicht gesprochen werden (vgl. Ausführungen in Prozessgeschichte Bst. D.b oben), ihre Begründungspflicht klarerweise verletzt hat. Diese umfasst als Ausfluss des Grundsatzes des rechtlichen Gehörs nämlich, dass die verfügende Behörde die Vorbringen des Beschwerdeführers tatsächlich hört, sorgfältig und ernsthaft prüft und in der Entscheidfindung berücksichtigt, was sich entsprechend in der Begründung des Entscheides niederschlagen muss (vgl. Art. 35 Abs. 1 VwVG; Entscheide und Mitteilungen der Schweizerischen Asylrekurskommission [EMARK] 2004 Nr. 38 E. 6.3 S. 264).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zur Begründungsdichte BGE 112 Ia 110; BVGE 2008/47 E. 3.2. S. 674 f.; EMARK 2006 Nr. 24 E. 5.1 S. 256; 2006 Nr. 4 E. 5 S. 44 ff.; 2004 Nr. 38 E. 7 S. 265). Die Vorinstanz hat es indessen in ihrem Entscheid unterlassen, auch nur ansatzweise die individuelle Situation des Beschwerdeführers anlässlich der Zumutbarkeitsprüfung des Wegweisungsvollzugs zu berücksichtigen, und somit diesem die Möglichkeit nicht eröffnet, ihren Entscheid sachgerecht anzufechten. Das Bundesverwaltungsgericht geht indessen davon aus, dass Gehörsverletzungen aus prozessökonomischen Gründen unter bestimmten Voraussetzungen geheilt werden können (vgl. zu diesen BVGE 2008/47 E. 3.3.4, mit weiteren Hinweisen). Unter Berücksichtigung der vollen Kognition des Bundesverwaltungsgerichts (Art. 106 AsylG) und der Tatsache, dass der rechtserhebliche Sachverhalt erstellt und somit die notwendige Entscheidreife gegeben ist, kann der festgestellte Verfahrensmangel im vorliegenden Fall als geheilt erachtet werden, zumal der Beschwerdeführer Gelegenheit hatte, sich auf Beschwerdeebene zur individuellen Situation im Zusammenhang mit der Prüfung der Zumutbarkeit des Wegweisungsvollzugs zu äussern. Nach dem Gesagten besteht somit keine Veranlassung, die Verfügung des BFM vom 29. November 2007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(vgl. nachfolgend E. 9).</w:t>
      </w:r>
    </w:p>
    <w:p>
      <w:r>
        <w:rPr>
          <w:b/>
        </w:rPr>
        <w:t>E. 4</w:t>
      </w:r>
    </w:p>
    <w:p>
      <w:r>
        <w:t>Somit bleibt zu prüfen, ob die Vorinstanz zu Recht aufgrund des von ihr korrekt festgestellten Sachverhaltes schloss, der Beschwerdeführer habe die Flüchtlingseigenschaft gemäss Art. 7 AsylG nicht genügend glaubhaft darlegen können.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1996 Nr. 28 E. 3a).</w:t>
      </w:r>
    </w:p>
    <w:p>
      <w:r>
        <w:rPr>
          <w:b/>
        </w:rPr>
        <w:t>E. 4.3</w:t>
      </w:r>
    </w:p>
    <w:p>
      <w:r>
        <w:t>Vorerst ist das auf Beschwerdeebene einleitend vorgebrachte Argument des Beschwerdeführers, seinen Ausführungen, wie er zum abgegebenen Pass gekommen sei, könne nichts Unrealistisches entnommen werden, zu bestätigen. So erscheint es tatsächlich abwegig, dass der Beschwerdeführer sich als Sohn eines Diplomaten um einen gefälschten Eintrag eines gestohlenen Visums in einen echten - ihm gehörenden - Diplomatenpass hätte bemühen müssen, zumal dieser bereits zahlreiche andere Visa beinhaltet. Folglich muss davon ausgegangen werden, dass der Beschwerdeführer tatsächlich einen Pass, dessen Ursprung ihm unbekannt ist und der nicht seine wahre Identität wiedergibt, den Schweizer Behörden abgegeben hat. Diese Annahme entkräftigt ferner in keiner Weise das Ergebnis des Untersuchungsberichts der Flughafenpolizei (vgl. A11/2), denn dieser enthält - entgegen der Feststellung der Vorinstanz - keine explizite Aussage zur Echtheit des Diplomatenpasses (vgl. Prozessgeschichte Bst. A.b oben).</w:t>
      </w:r>
    </w:p>
    <w:p>
      <w:r>
        <w:rPr>
          <w:b/>
        </w:rPr>
        <w:t>E. 4.4</w:t>
      </w:r>
    </w:p>
    <w:p>
      <w:r>
        <w:t>Dagegen bedeutet die Bestätigung eines einzigen Einwandes des Beschwerdeführers keineswegs, dass er damit seine geltend gemachte Identität (A._______) sowie eine asylrelevante Verfolgung insgesamt glaubhaft hätte machen bzw. belegen können (vgl. zur Glaubhaftmachung E. 4.2 oben). Vielmehr sind einerseits die vorinstanzlichen Erwägungen zu bestätigen, dass die Ausführungen des Beschwerdeführers zur Organisation der BDK, aufgrund deren Mitgliedschaft er angeblich verfolgt werde, äusserst unsubstantiiert und vage geblieben sind. In den von der Vorinstanz ausgewiesenen Protokollstellen (vgl. Prozessgeschichte Bst. D.b oben) gibt der Beschwerdeführer tatsächlich lediglich ausweichend Antwort. Außerdem überzeugt seine diesbezüglich auf Beschwerdeebene vorgebrachte Erklärung - er sei von einer oppositionell-politischen Zielsetzung der Bewegung ausgegangen, weshalb er sich für deren ideologische Ausrichtung weniger interessiert habe - in keiner Weise, sondern sie erweist sich zudem als widersprüchlich zu seinem hauptsächlichen Asylvorbringen, wonach er aufgrund seiner religiös-ideellen Anführerschaft bei der BDK verfolgt werde (vgl. Prozessgeschichte oben Bst. B). Damit werden erhebliche Zweifel an seiner persönlichen Glaubwürdigkeit geweckt. Andererseits ist in Würdigung der eingereichten Beweismittel festzustellen, dass deren Beweiswert äusserst gering ist. So weicht die Sachverhaltsdarstellung in den beiden eingereichten Zeitungsartikeln voneinander ab: In der Vermisstenmeldung (abgedruckt in der "(Name)" vom 4. Oktober 2007) steht, dass der Beschwerdeführer gemäss Zeugenaussagen während der Ausschreitungen im Bas-Congo verhaftet worden und seither unbekannten Aufenthalts sei. Im Artikel in der Zeitschrift "(Name)" vom 24. Dezember 2009 heisst es dagegen, dass der Beschwerdeführer als ausgewiesener BDK-Anführer während der Ausschreitungen im Jahre 2007 verhaftet worden und danach aus der Haft geflohen sei. Die Sicherheitspolizei habe ihn danach gesucht und er sei seither unbekannten Aufenthalts. Seiner persönlichen Glaubwürdigkeit besonders abträglich ist zudem, dass diese beiden Sachverhaltsdarstellungen seinen anlässlich der Anhörungen gemachten Angaben (vgl. A15/11 und A30/19, S. 6 f. und S. 11 ff.) zu seiner Teilnahme an den Demonstrationen im Bas-Congo und zum weiteren Verlauf bis zur Ausreise (vgl. Prozessgeschichte Bst. B oben) diametral entgegenstehen. Absurd erscheint auch sein auf Beschwerdeebene vorgebrachtes Argument, dass er sich angeblich lediglich im Zeitpunkt der Ausschreitungen im Bas-Congo geirrt habe, handelt es sich dabei nämlich um einen frappanten Zeitunterschied von einem Monat. Da damit seine persönliche Glaubwürdigkeit in erheblichem Masse zweifelhaft erscheint, vermag ferner sein Einwand, er habe jeweils detailliert und widerspruchsfrei seine Asylgründe dargestellt, nicht zu überzeugen, erscheinen diese Aussagen doch vielmehr als eine einstudierte Geschichte. Ferner vermögen die weiteren Beweismittel (Geburtsbescheinigung, BDK-Mitgliedskarte, Haftbefehl), welche im Laufe des Beschwerdeverfahrens zwar im Original nachgereicht wurden, weder seine wahre Identität noch seine Sachverhaltsdarstellung mit überwiegender Wahrscheinlichkeit zu belegen. Um Wiederholungen zu vermeiden, sei in diesem Zusammenhang auf die zutreffenden Feststellungen der Vorinstanz in ihrer Vernehmlassung vom 6. Mai 2010 (vgl. Prozessgeschichte Bst. J oben) zu verweisen. Diesen vermag der Beschwerdeführer in seiner Replik vom 24. Juni 2010 nichts Substanzielles entgegenzuhalten. Vielmehr erkennt er nicht, dass er die Folgen der Beweislosigkeit zu tragen hat; er geht nämlich zu Unrecht davon aus, dass er seine Asylgründe genügend glaubhaft machen konnte und es folglich dem BFM obliege, die Untauglichkeit der eingereichten Beweismittel zu belegen.</w:t>
      </w:r>
    </w:p>
    <w:p>
      <w:r>
        <w:rPr>
          <w:b/>
        </w:rPr>
        <w:t>E. 4.5</w:t>
      </w:r>
    </w:p>
    <w:p>
      <w:r>
        <w:t>Damit sprechen in Würdigung der gesamten Aspekte wesentliche und überwiegende Umstände gegen die Sachverhaltsdarstellung des Beschwerdeführers. Die Vorinstanz hat somit im Ergebnis zu Recht das Asylgesuch des Beschwerdeführers vom 23. September 2007 mit Verfügung vom 29. November 2007 aufgrund der Unglaubhaftigkeit seiner Vorbringen im Sinne von Art. 7 AsylG abgelehnt, weshalb es sich erübrigt, auf die Vorbringen des Beschwerdeführers zur Asylrelevanz seiner Verfolgung einzugehen, da diese nichts am Ergebnis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 auf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Hinsichtlich der Beurteilung der allgemeinen Lage in Kongo (Kinshasa) ist auf die ausführliche Analyse in EMARK 2004 Nr. 33 sowie das Urteil BVGE 2010/57, welches eine detaillierte Analyse zur politischen Situation (E. 4.1.1) und zur allgemeinen Menschenrechtslage (E. 4.1.2) enthält, zu verweisen. Diese Lageanalysen treffen grundsätzlich auch heute nach den Präsidentschafts- und Parlamentswahlen im November des vergangenen Jahres noch zu, obwohl es sowohl im Vorfeld als auch während sowie im Nachgang der Wahlen zu gewaltsamen Zusammenstössen zwischen den Sicherheitskräften und den Oppositionellen gekommen ist. So hätten laut der Menschenrechtsorganisation Human Rights Watch (HWR) Sicherheitskräfte seit der Bekanntgabe der umstrittenen Wiederwahl von Staatschef Joseph Kabila am 9. Dezember 2011 mindestens 24 Personen getötet und Dutzende von Menschen seien wahllos festgenommen worden. Die Sicherheitskräfte hätten gemäss HWR immer wieder das Feuer auf Menschenversammlungen eröffnet, womit offenbar Proteste gegen den Ausgang der Wahl vom 28. November 2011 hätten verhindert werden sollen. Kabila hatte bei der Wahl laut offiziellem Ergebnis knapp 49 Prozent der Stimmen erhalten. Sein wichtigster Herausforderer Etienne Tshisekedi erhielt 32 Prozent; er anerkannte das Wahlergebnis aber nicht. Bereits während des Wahlkampfes hatte es gemäss Angaben von HRW gewaltsame Ausschreitungen gegeben, bei denen mindestens 18 Personen getötet worden seien (vgl. HRW, DR Congo: 24 Killed since Election Results Announced, vom 21. Dezember 2011 abrufbar unter: http://www.hrw.org/news/2011/12/21/dr-congo-24-killed-election-results-announced, besucht am 1. Mai 2012; vgl. auch NZZ Online vom 22. Dezember 2011, Tötungen und willkürliche Festnahmen - Hartes Regime in Kongo-Kinshasa seit Kabilas Wiederwahl). Diese jüngsten Ausschreitungen und die Eskalation der Gewalt müssen indessen im Kontext der Wahlen im letzten Jahr verstanden werden, d.h. sie sind klarerweise diesen zuzuschreiben, weshalb im heutigen Zeitpunkt in Kongo (Kinshasa) nach wie vor nicht generell von Krieg, Bürgerkrieg oder von einer Situation allgemeiner Gewalt gesprochen werden kann.</w:t>
      </w:r>
    </w:p>
    <w:p>
      <w:r>
        <w:rPr>
          <w:b/>
        </w:rPr>
        <w:t>E. 6.4.2</w:t>
      </w:r>
    </w:p>
    <w:p>
      <w:r>
        <w:t>Gemäss der in EMARK 2004 Nr. 33 dargelegten Praxis, welche vom Bundesverwaltungsgericht übernommen wurde, kann indessen die Rückkehr von Personen aus Kongo (Kinshasa)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EMARK 2004 Nr. 33 E. 8.3 S. 237). Vorliegend stammt der gemäss eigenen Angaben (Zahl)-jährige, ledige sowie gesunde Beschwerdeführer aus Kinshasa, wo auch sein letzter Hauptwohnsitz gewesen ist. Auch wenn seine Eltern tatsächlich verstorben sind und seine (Zahl) Geschwister nicht in Kinshasa leben (sondern in E._______), so kann davon ausgegangen werden, dass der mehrsprachige ([Sprachen]) gut gebildete ([...]) sowie vormalig beruflich als (Beruf) tätige Beschwerdeführer über ein genügend gefestigtes Beziehungsnetz in Kinshasa verfügt, welches ihn nach der Rückkehr nach Kongo (Kinshasa) bei der Sicherung seines Existenzminimums unterstützen kann. Zudem hat der Beschwerdeführer gemäss eigenen Angaben zwei Söhne, für welche er aber nicht verantwortlich ist. Sie leben mit ihrer Mutter, seiner ehemaligen Lebensgefährtin in Frankreich, und er pflegt keinen Kontakt zu ihnen (vgl. A27/10, S. 2 und 3). Nach dem Gesagten erweist sich der Vollzug der Wegweisung im vorliegenden Fall auch in Berücksichtigung der individuellen Situation des Beschwerdeführers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im Ergebnis zu Recht als zulässig, zumutbar und möglich erachtet. Nach dem Gesagten fällt eine Anordnung der vorläufigen Aufnahme ausser Betracht (Art. 83 Abs. 1 - 4 AuG).</w:t>
      </w:r>
    </w:p>
    <w:p>
      <w:r>
        <w:rPr>
          <w:b/>
        </w:rPr>
        <w:t>E. 7</w:t>
      </w:r>
    </w:p>
    <w:p>
      <w:r>
        <w:t>Aufgrund der vorstehenden Erwägungen erübrigt sich eine Auseinandersetzung mit den weiteren Ausführungen auf Beschwerdeebene, da diese nicht geeignet sind, eine andere Beurteilung herbeizuführen.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dem Beschwerdeführer aufzuerlegen (Art. 63 Abs. 1 VwVG). Wie in E. 3.3 aufgezeigt, wies die angefochtene Verfügung im Zeitpunkt ihrer Eröffnung indessen einen Verfahrensmangel auf. Dieser wurde zwar auf Beschwerdeebene geheilt, aber dem Beschwerdeführer darf aus dem Umstand, dass er nur durch Ergreifen des Rechtsmittels zu einem rechtskonformen Entscheid gelangt ist, kein finanzieller Nachteil erwachsen. Deshalb sind in Anwendung von Art. 63 Abs. 1 in fine VwVG i.V.m. Art. 6 Bst. b des Reglements vom 21. Februar 2008 über die Kosten und Entschädigungen vor dem Bundesverwaltungsgericht (VGKE, SR 173.320.2) keine Kosten aufzuerlegen (vgl. BVGE 2008/47 E. 5.1; Michael Beusch, in: Auer/Müller/Schindler [Hrsg.], Kommentar zum Bundesgesetz über das Verwaltungsverfahren [VwVG], Zürich 2008, Rz 15 zu Art. 63). Damit erübrigt sich die Prüfung, ob die mit Verfügung vom 8. Januar 2008 durch das Bundesverwaltungsgericht gewährte unentgeltliche Rechtspflege aufgrund einer Veränderung der finanziellen Verhältnisse wieder aufzuheben wäre.</w:t>
      </w:r>
    </w:p>
    <w:p>
      <w:r>
        <w:rPr>
          <w:b/>
        </w:rPr>
        <w:t>E. 9.2</w:t>
      </w:r>
    </w:p>
    <w:p>
      <w:r>
        <w:t>Da der Beschwerdeführer den vom Bundesverwaltungsgericht festgestellten Verfahrensmangel auf Beschwerdeebene nicht rügte und er zudem keinen Rechtsvertreter in Anspruch nehmen musste, ist kein Kostenaufwand - welcher bei ihm erwachsen sein könnte- festzustellen, weshalb ihm trotz der Ausführungen in E. 3.3 keine Parteientschädigung zu entrichten ist (vgl.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