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E-1298/2012 vom 2. April 2012</w:t>
      </w:r>
    </w:p>
    <w:p>
      <w:r>
        <w:t>Bundesverwaltungsgericht, 2012-04-02, FR</w:t>
      </w:r>
    </w:p>
    <w:p>
      <w:r>
        <w:rPr>
          <w:b/>
        </w:rPr>
        <w:t xml:space="preserve">Quelle: </w:t>
      </w:r>
      <w:r>
        <w:t>https://mcp.opencaselaw.ch/entscheid/bvger_E-1298_2012</w:t>
      </w:r>
    </w:p>
    <w:p>
      <w:r>
        <w:t>FR: TAF E-1298/2012 du 2 avril 2012</w:t>
      </w:r>
    </w:p>
    <w:p>
      <w:r>
        <w:t>IT: TAF E-1298/2012 del 2 aprile 2012</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L'intéressé a qualité pour recourir. Présenté dans la forme et les délais prescrits par la loi, le recours est recevable (art. 48 et 52 PA et 108 al. 1 LAsi).</w:t>
      </w:r>
    </w:p>
    <w:p>
      <w:r>
        <w:rPr>
          <w:b/>
        </w:rPr>
        <w:t>E. 1.3</w:t>
      </w:r>
    </w:p>
    <w:p>
      <w:r>
        <w:t>Le Tribunal applique le droit d'office, sans être lié par les motifs invoqués à l'appui du recours (art. 62 al. 4 PA par renvoi des art. 6 LAsi et 37 LTAF) ou par l'argumentation juridique développée dans la décision entreprise (cf. Bernhard Feldmann/Philippe Weissenberger, Praxiskommentar VwVG, Zurich/Bâle/Genève 2009, ad art. 62 no 40, p. 1250). Il tient compte uniquement de la situation prévalant au moment de l'arrêt pour apprécier l'existence d'une crainte de persécutions futures ou de motifs d'empêchement à l'exécution du renvoi, que ceux-ci soient d'ordre juridique ou pratique (ATAF 2008/12 consid. 5.2 p. 154s., ATAF 2008/4 consid. 5.4 p. 38s.).</w:t>
      </w:r>
    </w:p>
    <w:p>
      <w:r>
        <w:rPr>
          <w:b/>
        </w:rPr>
        <w:t>E. 2.1</w:t>
      </w:r>
    </w:p>
    <w:p>
      <w:r>
        <w:t>Sont des réfugiés les personnes qui, dans leur Etat d'origine ou dans les pays de leur dernières résidence, sont exposées à de sérieux préjudices ou craignant à juste titre de l'être en raison de leur race, de leur religion, de leur nationalité, de leur appartenance à un groupe social déterminé ou de leurs opinions politiques. Sont notamment considérés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Le but de l'asile n'est pas d'accorder une protection à toutes les victimes d'une injustice, mais uniquement aux personnes qui ont été soumises à une atteinte à leur liberté ou à leur intégrité physique d'une certaine intensité (cf. Walter Stöckli, Asyl, in : Peter Uebersax/Beat Rudin / Thomas Hugi Yar / Thomas Geiser [éd.] Ausländerrecht, Handbücher für die Anwaltspraxis, Band VIII, 2ème éd., Bâle 2009, p. 530, ch. 11.14s. et réf. cit.; Organisation suisse d'aide aux réfugiés [OSAR] [édit.], Manuel de la procédure d'asile et de renvoi, Berne/Stuttgart/ Vienne 2009, p. 171 ss; Minh Son Nguyen, Droit public des étrangers, Berne 2003, p. 421). Des contrôles d'identité, des interpellations de police suivies de détentions de courte durée à des fins d'interrogatoires, ainsi que d'autres interventions policières à caractère vexatoire, ne représentent pas des atteintes à la liberté d'une intensité suffisante pour constituer un sérieux préjudice au sens de l'art. 3 LAsi (cf. arrêt du Tribunal administratif fédéral E-­3649/2007 du 29 juillet 2010 consid. 3.1.1 p. 6; Jurisprudence et informations de la Commission suisse de recours en matière d'asile [JICRA] 1994 n° 17 consid. 3a p. 134); des coups légers et uniques ainsi que de légères brûlures corporelles ne suffisent pas non plus (Minh Son Nguyen, op. cit.).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Seules sont prises en considération les mesures qui visent une minorité ethnique, religieuse, sociale ou politique et qui, soit en tant que telles, soit accompagnées de mesures individualisées, sont suffisamment intenses pour constituer de sérieux préjudices au sens de l'art. 3 LAsi. Enfin, la pression psychique doit être la conséquence de mesures concrètes, auxquelles l'intéressé était effectivement exposé ou est exposé à l'avenir avec une grande vraisemblance (cf. ATAF 2010/28 consid. 3.3.1.1 p. 401 et réf. cit.; cf. aussi arrêt du Tribunal administratif fédéral D-5378/ 2006 du 30 novembre 2010 consid. 5.2 p. 15 et réf. cit.; OSAR, op. cit., p. 172 ss; Walter Stöckli, Asyl, in : Peter Uebersax/Peter Münch/ Thomas Geiser/Martin Arnold [éd.], Ausländerrecht, Handbücher für die Anwaltspraxis, vol. VIII, 2e éd., Bâle 2009, n° 11.15 p. 530; Minh Son Nguyen, op. cit., p. 423s.).</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étatiques ou non-étatiques déterminantes selon l'art. 3 LAsi. Il ne suffit pas, dans cette optique, de se référer à des menaces hypothétiques, qui pourraient se produire dans un avenir plus ou moins lointain (cf. ATAF 2010/44 consid. 3.3 p. 620 ainsi que les références de jurisprudence et de doctrine citées; cf. également OSAR, op. cit., p. 188s.; Astrid Epiney/Bernhard Waldmann/Andrea Egbuna-Joss/ Magnus Oeschger, Die Anerkennung als Flüchtling im europäischen und schweizerischen Recht, in : Jusletter 26 mai 2008, p. 33; Nguyen, op. cit., p. 447 ss). 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et jurisp. cit.).</w:t>
      </w:r>
    </w:p>
    <w:p>
      <w:r>
        <w:rPr>
          <w:b/>
        </w:rPr>
        <w:t>E. 2.4</w:t>
      </w:r>
    </w:p>
    <w:p>
      <w:r>
        <w:t>Quiconque demande l'asile (requérant) doit prouver ou du moins rendre vraisemblable qu'il est un réfugié. La qualité de réfugié est vraisemblable lorsque l'autorité estime que celle-ci est hautement probable. Ne sont vraisemblables notamment les allégations qui, sur des points essentiels, ne sont pas suffisamment fondées, qui sont contradictoires, qui ne correspondent pas aux faits ou qui reposent de manière déterminante sur des moyens de preuves faux ou falsifiés (art. 7 LAsi).</w:t>
      </w:r>
    </w:p>
    <w:p>
      <w:r>
        <w:rPr>
          <w:b/>
        </w:rPr>
        <w:t>E. 3.1</w:t>
      </w:r>
    </w:p>
    <w:p>
      <w:r>
        <w:t>En l'espèce, A._______ a allégué avoir quitté la Turquie parce qu'il avait fait l'objet de persécutions de la part des autorités turques en raison de ses activités politiques et craignait de l'être à nouveau. Il a exposé avoir été arrêté et mis en détention à plusieurs reprises et avoir appris par sa famille que les autorités étaient à sa recherche suite à sa participation à une manifestation.</w:t>
      </w:r>
    </w:p>
    <w:p>
      <w:r>
        <w:rPr>
          <w:b/>
        </w:rPr>
        <w:t>E. 3.2</w:t>
      </w:r>
    </w:p>
    <w:p>
      <w:r>
        <w:t>S'agissant de ses activités pour le F._______, le Tribunal observe ce qui suit :</w:t>
      </w:r>
    </w:p>
    <w:p>
      <w:r>
        <w:rPr>
          <w:b/>
        </w:rPr>
        <w:t>E. 3.2.1.1</w:t>
      </w:r>
    </w:p>
    <w:p>
      <w:r>
        <w:t>Le seul fait que l'existence d'un parti soit légale ne suffit pas à exclure la vraisemblance de toute répression à l'égard des membres dudit parti, ni à nier l'existence d'une crainte fondée de préjudices en raison d'activité pour ce dernier. (...) Les personnes visées sont souvent des dirigeants de ces partis, des politiciens ou encore des élus, comme les maires de village, issus de leurs rangs, qui font l'objet de poursuites judiciaires en particulier en raison de leurs déclarations publiques sur des objets sensibles ou de leurs actions, considérées comme un soutien au G._______, voire une propagande séparatiste. Les poursuites judiciaires ont souvent lieu sur la base de l'art. 301 du code pénal, qui punit d'emprisonnement toute personne dénigrant l'identité (aujourd'hui, la nation) turque ou encore de l'art. 7 de la loi anti-terrorisme. La modification de l'art. 301 du code pénal turc, adoptée en 2007 dans le cadre des réformes législatives en vue d'une adhésion à l'UE, pourrait diminuer le nombre d'accusations sur la base de cette disposition, dès lors qu'elle nécessite désormais l'approbation du Ministre de la Justice et que son contenu a été modifié. Il faut cependant relever, en parallèle, des modifications législatives qui ont amené un certain durcissement de la loi anti-terrorisme comme de la loi sur les droits et devoirs de la police (cf. Helmut Oberdiek, OSAR, Turquie, mise à jour, octobre 2007). Cela dit, même si de nombreuses poursuites n'aboutissent pas faute de preuve, il n'est pas possible d'ignorer l'existence d'une certaine forme de harcèlement à l'égard des membres du F._______, sous forme de perquisitions des bureaux du parti, de menaces verbales, de détentions arbitraires suite à des rassemblements politiques ou à des contrôles d'identité. Il faut observer que, même s'il se défend de liens avec le G._______, le F._______, comme les partis qui l'ont précédé, trouve ses sympathisants dans les mêmes souches de population que le G._______ (cf. UK Home office, Turkey: Country of Information Report, 29 août 2008).</w:t>
      </w:r>
    </w:p>
    <w:p>
      <w:r>
        <w:rPr>
          <w:b/>
        </w:rPr>
        <w:t>E. 3.2.1.2</w:t>
      </w:r>
    </w:p>
    <w:p>
      <w:r>
        <w:t>Au vu de ce qui précède, il est impératif, dans chaque cas d'espèce, d'examiner les liens particuliers de la personne concernée avec le parti, les activités personnelles qu'elle a pu déployer pour le compte de celui-ci, les propos publics qu'elle a pu tenir, les fréquentations qu'elle a pu avoir, afin d'apprécier si elle a pu se rendre particulièrement suspecte, voire indésirable aux yeux des autorités et encore si d'autres antécédents, chez elle, voire chez d'autres membres de sa famille, pourraient objectivement fonder une crainte de sérieux préjudices, déterminants au regard de la loi sur l'asile.</w:t>
      </w:r>
    </w:p>
    <w:p>
      <w:r>
        <w:rPr>
          <w:b/>
        </w:rPr>
        <w:t>E. 3.2.2</w:t>
      </w:r>
    </w:p>
    <w:p>
      <w:r>
        <w:t>En l'occurrence, force est de constater que le recourant n'a fait valoir aucun fait précis qui pourrait, objectivement, fonder sa crainte de subir de sérieux préjudices, au sens de l'art. 3 LAsi, en raison de ses activités en faveur du F._______. Il a allégué avoir participé à des manifestations et distribué des tracts, ce qui démontre que sa fonction aurait été de moindre importance. Il n'a par ailleurs pas invoqué avoir de lien particulier avec le G._______. Il ressort en outre du dossier qu'il n'a jamais été visé par une procédure pénale. De plus, bien que souvent interpellé, l'intéressé aurait toujours été relâché après quelques jours de détention; ce comportement des autorités tend à indiquer qu'il n'était pas considéré comme un élément dangereux. Au demeurant, au vu du dossier, le recourant n'exerce de toute évidence pas un rôle dirigeant au sein de son parti et ne présente dès lors pas un profil particulier.</w:t>
      </w:r>
    </w:p>
    <w:p>
      <w:r>
        <w:rPr>
          <w:b/>
        </w:rPr>
        <w:t>E. 3.3</w:t>
      </w:r>
    </w:p>
    <w:p>
      <w:r>
        <w:t>Le Tribunal relève aussi, à l'instar de l'ODM, que le simple fait d'avoir appris par des tiers que l'on est recherché n'est pas suffisant pour faire admettre le bien-fondé de la crainte d'avoir très vraisemblablement à subir des persécutions (cf. arrêt du Tribunal administratif fédéral D-7620/ 2008 consid. 3.1.4 [p. 10] du 1er avril 2011; cf. également dans ce sens Alberto Achermann/Christina Hausammann, Les notions d'asile et de réfugié en droit suisse, in Walter Kälin [éd.], Droit des réfugiés, enseignement de 3ème cycle de droit 1990, Fribourg 1991, p. 44; Walter Kälin, Grundriss des Asylverfahrens, Bâle/Francfort-sur-le-Main 1990, p. 144ss). Ainsi, l'allégation de l'intéressé selon laquelle il aurait été informé par sa famille qu'il était recherché par les autorités turques ne saurait être considérée comme suffisante pour admettre l'existence d'une crainte fondée de future persécution, aucun autre indice ou élément du dossier ne permettant d'arriver à cette conclusion.</w:t>
      </w:r>
    </w:p>
    <w:p>
      <w:r>
        <w:rPr>
          <w:b/>
        </w:rPr>
        <w:t>E. 4</w:t>
      </w:r>
    </w:p>
    <w:p>
      <w:r>
        <w:t>Il s'ensuit que le recourant ne risque pas d'être exposé en Turquie à un danger de persécution et qu'aucun motif valable ne vient justifier sa demande d'asile en Suisse. En conséquence,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Si ces conditions ne sont pas réunies, l'ODM prononce l'admission provisoire de l'étranger concerné. Celle-ci est réglée par l'art. 83 de la loi fédérale sur les étrangers du 16 décembre 2005 (LEtr, RS 142.20).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En l'espèce, il sied en premier lieu de constater que l'exécution du renvoi ne contrevient pas au principe de non-refoulement de l'art. 5 LAsi. Comme exposé plus haut, l'intéressé n'est pas parvenu à démontrer qu'il serait exposé à de sérieux préjudices au sens de l'art. 3 LAsi en cas de retour dans son pays d'origine.</w:t>
      </w:r>
    </w:p>
    <w:p>
      <w:r>
        <w:rPr>
          <w:b/>
        </w:rPr>
        <w:t>E. 7.3</w:t>
      </w:r>
    </w:p>
    <w:p>
      <w:r>
        <w:t>Pour les mêmes raisons que celles indiquées plus haut, le Tribunal considère que le recourant n'a pas fait valoir un véritable risque concret et sérieux d'être victime de traitements prohibés par les art. 3 CEDH ou 3 de la Convention du 10 décembre 1984 contre la torture et autres peines ou traitements cruels, inhumains ou dégradants (Conv. torture, RS 0.105) en cas de renvoi dans son pays (cf. ATAF 2008/34 consid. 10 ; JICRA 2005 n° 4 consid. 6.2 p. 40, JICRA 2004 n° 6 consid. 7a p. 40, JICRA 1996 n° 18 consid. 14b spéc. let. ee p. 182 ss).</w:t>
      </w:r>
    </w:p>
    <w:p>
      <w:r>
        <w:rPr>
          <w:b/>
        </w:rPr>
        <w:t>E. 7.4</w:t>
      </w:r>
    </w:p>
    <w:p>
      <w:r>
        <w:t>Partant, l'exécution du renvoi de l'intéressé sous forme de refoulement ne transgresse aucun engagement de la Suisse relevant du droit international, de sorte qu'elle s'avère licite (art. 44 al. 2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qu'à une dégradation grave de leur état de santé, à l'invalidité, voire à la mort (cf. ATAF 2007/10 consid. 5.1 ; JICRA 2003 n° 24 p. ss ; JICRA 2002 n° 11 consid. 8a). En revanche, les difficultés socio-économiques qui sont le lot habituel de la population locale, en particulier en matière de pénurie de logements et d'emplois, ne suffisent pas en soi à réaliser une telle mise en danger (cf. ATAF 2008/34 consid. 11.2.2 ; JICRA 1994 n°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JICRA 1998 n° 22 p. 191).</w:t>
      </w:r>
    </w:p>
    <w:p>
      <w:r>
        <w:rPr>
          <w:b/>
        </w:rPr>
        <w:t>E. 8.2</w:t>
      </w:r>
    </w:p>
    <w:p>
      <w:r>
        <w:t>Il est notoire que la Turquie ne connaît pas une situation de guerre, de guerre civile ou de violence généralisée sur l'ensemble de son territoire, qui permettrait de présumer, à propos de tous les requérants provenant de cet Etat et indépendamment des circonstances de chaque cas particulier, l'existence d'une mise en danger concrète au sens de l'art. 44 al. 2 LAsi et de l'art. 83 al. 4 LEtr.</w:t>
      </w:r>
    </w:p>
    <w:p>
      <w:r>
        <w:rPr>
          <w:b/>
        </w:rPr>
        <w:t>E. 8.3</w:t>
      </w:r>
    </w:p>
    <w:p>
      <w:r>
        <w:t>En outre, il ne ressort du dossier aucun élément dont on pourrait inférer que l'exécution du renvoi impliquerait une mise en danger concrète de l'intéressé. Celui-ci est jeune et au bénéfice d'une certaine expérience professionnelle. Il n'a pas établi qu'il souffrait de problèmes de santé particuliers pour lesquels il ne pourrait pas être soigné dans son pays et qui seraient susceptibles de rendre son renvoi inexécutable. Par ailleurs, il y dispose d'un réseau social et familial sur place, soit autant de facteurs qui devraient lui permettre de se réinstaller sans rencontrer d'excessives difficultés.</w:t>
      </w:r>
    </w:p>
    <w:p>
      <w:r>
        <w:rPr>
          <w:b/>
        </w:rPr>
        <w:t>E. 8.4</w:t>
      </w:r>
    </w:p>
    <w:p>
      <w:r>
        <w:t>Par conséquent, force est de constater que l'intéressé n'est pas parvenu à démontrer l'existence de motif d'ordre personnel susceptible de faire obstacle à l'exécution du renvoi au sens des dispositions susmentionnées, et que de tels obstacles ne ressortent pas non plus d'un examen d'office du dossier. Dans ces conditions, un retour dans son pays d'origine est raisonnablement exigible.</w:t>
      </w:r>
    </w:p>
    <w:p>
      <w:r>
        <w:rPr>
          <w:b/>
        </w:rPr>
        <w:t>E. 9.1</w:t>
      </w:r>
    </w:p>
    <w:p>
      <w:r>
        <w:t>L'exécution n'est pas possible lorsque l'étranger ne peut pas quitter la Suisse pour son Etat d'origine, son Etat de provenance ou un Etat tiers, ni être renvoyé dans un de ces Etats (art. 83 al. 2 LEtr).</w:t>
      </w:r>
    </w:p>
    <w:p>
      <w:r>
        <w:rPr>
          <w:b/>
        </w:rPr>
        <w:t>E. 9.2</w:t>
      </w:r>
    </w:p>
    <w:p>
      <w:r>
        <w:t>En l'espèce, il incombe en particulier à l'intéressé d'entreprendre, en collaboration avec les autorités cantonales d'exécution du renvoi, toute les démarches nécessaires pour obtenir les documents de voyage lui permettant de retourner dans son pays d'origine (cf. art. 8 al. 4 LAsi ; également ATAF 2008/34 consid. 12 p. 513 à 515).</w:t>
      </w:r>
    </w:p>
    <w:p>
      <w:r>
        <w:rPr>
          <w:b/>
        </w:rPr>
        <w:t>E. 9.3</w:t>
      </w:r>
    </w:p>
    <w:p>
      <w:r>
        <w:t>L'exécution du renvoi ne se heurte donc pas à des obstacles insurmontables d'ordre technique et s'avère également possible au sens de l'art. 83 al. 2 LEtr.</w:t>
      </w:r>
    </w:p>
    <w:p>
      <w:r>
        <w:rPr>
          <w:b/>
        </w:rPr>
        <w:t>E. 10</w:t>
      </w:r>
    </w:p>
    <w:p>
      <w:r>
        <w:t>Il s'ensuit que le recours, en tant qu'il conteste la décision en ce qui concerne l'exécution du renvoi, doit être également rejeté.</w:t>
      </w:r>
    </w:p>
    <w:p>
      <w:r>
        <w:rPr>
          <w:b/>
        </w:rPr>
        <w:t>E. 11</w:t>
      </w:r>
    </w:p>
    <w:p>
      <w:r>
        <w:t>Au vu des particularités de la cause, il est renoncé à un échange d'écritures (cf. art. 111a al. 1 LAsi).</w:t>
      </w:r>
    </w:p>
    <w:p>
      <w:r>
        <w:rPr>
          <w:b/>
        </w:rPr>
        <w:t>E. 12.1</w:t>
      </w:r>
    </w:p>
    <w:p>
      <w:r>
        <w:t>Dans la mesure où il est immédiatement statué sur le fond, la demande de dispense d'avance de frais devient sans objet.</w:t>
      </w:r>
    </w:p>
    <w:p>
      <w:r>
        <w:rPr>
          <w:b/>
        </w:rPr>
        <w:t>E. 12.2</w:t>
      </w:r>
    </w:p>
    <w:p>
      <w:r>
        <w:t>La demande d'assistance judiciaire partielle est rejetée, étant donné que les conclusions du recours apparaissent d'emblée vouées à l'échec (cf. art. 65 al. 1 PA).</w:t>
      </w:r>
    </w:p>
    <w:p>
      <w:r>
        <w:rPr>
          <w:b/>
        </w:rPr>
        <w:t>E. 12.3</w:t>
      </w:r>
    </w:p>
    <w:p>
      <w:r>
        <w:t>Au vu de l'issue de la cause, il y a lieu de mettre les frais de procédure, d'un montant de 600 francs, à la charge du recourant,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