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E-1295/2013 vom 20. März 2013</w:t>
      </w:r>
    </w:p>
    <w:p>
      <w:r>
        <w:t>Bundesverwaltungsgericht, 2013-03-20, DE</w:t>
      </w:r>
    </w:p>
    <w:p>
      <w:r>
        <w:rPr>
          <w:b/>
        </w:rPr>
        <w:t xml:space="preserve">Quelle: </w:t>
      </w:r>
      <w:r>
        <w:t>https://mcp.opencaselaw.ch/entscheid/bvger_E-1295_2013</w:t>
      </w:r>
    </w:p>
    <w:p>
      <w:r>
        <w:t>FR: TAF E-1295/2013 du 20 mars 2013</w:t>
      </w:r>
    </w:p>
    <w:p>
      <w:r>
        <w:t>IT: TAF E-1295/2013 del 20 marzo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Das Urteil ergeht gestützt auf die Übergangsbestimmung zur Änderung des Asylgesetzes vom 28. September 2012 (in Kraft getreten am 29. September 2012), wonach für Asylgesuche, die - wie vorliegend - im Ausland vor dem Inkrafttreten der Änderung vom 28. September 2012 gestellt worden sind, die (per 29. September 2012 aufgehobenen) alt Art. 12, 19, 20, 41 Abs. 2, Art. 52 und 68 in der bisherigen Fassung des Asylgesetzes gelten.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alt Art. 19 AsylG kann ein Asylgesuch im Ausland bei einer Schweizerischen Vertretung gestellt werden, welche es mit einem Bericht an das Bundesamt überweist (alt Art.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4.2</w:t>
      </w:r>
    </w:p>
    <w:p>
      <w:r>
        <w:t>Vorliegend wurden die Beschwerdeführenden aus Kapazitätsgründen nicht zu ihren Asylgesuchen befragt. Das BFM teilte ihnen vor diesem Hintergrund mit Zwischenverfügung vom 2. November 2012 mit, der entscheidwesentliche Sachverhalt werde als erstellt erachtet, und es erwäge, die Asylgesuche abzulehnen sowie die Einreisebewilligung zu verweigern. Gleichzeitig gab es den Beschwerdeführenden Gelegenheit zu einer schriftlichen Stellungnahme hierzu, wovon sie innert Frist Gebrauch machten. Unter Berücksichtigung der gesamten Aktenlage hat die Vorinstanz mit diesem Vorgehen den massgeblichen verfahrensrechtlichen Anforderungen Genüge getan und den erheblichen Sachverhalt hinreichend abgeklärt (vgl. dazu BVGE 2007/30, insb. E. 5.6 und 5.7).</w:t>
      </w:r>
    </w:p>
    <w:p>
      <w:r>
        <w:rPr>
          <w:b/>
        </w:rPr>
        <w:t>E. 5.1</w:t>
      </w:r>
    </w:p>
    <w:p>
      <w:r>
        <w:t>Das Bundesamt kann ein im Ausland gestelltes Asylgesuch ablehnen, wenn die asylsuchende Person keine Verfolgung glaubhaft machen oder ihr die Aufnahme in einem Drittstaat zugemutet werden kann (Art. 3, Art. 7 und alt Art. 52 Abs. 2 AsylG). Gemäss alt Art. 20 Abs. 2 AsylG bewilligt das Bundesamt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zum Ganzen BVGE 2011/10 E. 3.3 m.w.H.).</w:t>
      </w:r>
    </w:p>
    <w:p>
      <w:r>
        <w:rPr>
          <w:b/>
        </w:rPr>
        <w:t>E. 5.3</w:t>
      </w:r>
    </w:p>
    <w:p>
      <w:r>
        <w:t>Das BFM stellte sich zur Begründung seiner Verfügung auf den Standpunkt, Kolumbien verfüge grundsätzlich über eine funktionierende und effiziente Schutzinfrastruktur, und es könne bezüglich der von den Beschwerdeführenden vorgebrachten Drohungen aufgrund ihrer Ausführungen sowie den von ihnen eingereichten Dokumenten von der Schutzwilligkeit der kolumbianischen Behörden ausgegangen werden. Da es sich bei ihnen nicht um landesweit bekannte Personen handle, könne ihnen ferner zugemutet werden, sich den Nachstellungen ihrer Verfolger durch einen Umzug in eine andere Region ihres Herkunftslandes zu entziehen. Im Übrigen hätten die Beschwerdeführenden keine besonders nahe Beziehung zu der Schweiz geltend gemacht, und es könne ihnen zugemutet werden, in einem anderen Land - namentlich in einem der Nachbarstaaten Kolumbiens, welche die Flüchtlingskonvention ratifiziert hätten und sich an diese Verpflichtungen halten würden - um Schutz zu ersuchen.</w:t>
      </w:r>
    </w:p>
    <w:p>
      <w:r>
        <w:rPr>
          <w:b/>
        </w:rPr>
        <w:t>E. 5.4</w:t>
      </w:r>
    </w:p>
    <w:p>
      <w:r>
        <w:t>Die Erwägungen der Vorinstanz sind - auch unter Berücksichtigung der Ausführungen der Beschwerdeführenden in ihrer Beschwerdeeingabe - vollumfänglich zu schützen. Die von der Beschwerdeführerin auf Beschwerdeebene neu vorgebrachten Drohungen von Seiten des früheren Bürgermeisters von C._______, welche im Zusammenhang mit einer von ihr gegen diesen eingeleiteten Klage wegen ausstehender Lohnzahlungen stehen würden, vermögen keine andere Einschätzung zu rechtfertigen. Es kann davon ausgegangen werden, dass die Sicherheitsbehörden Kolumbiens ihr auch bezüglich dieser Behelligungen einen hinreichenden Schutz gewährleisten können. Der Hinweis darauf, dass in ganz Kolumbien Guerilla-Gruppen aktiv sind, vermag keine landesweite Verfolgung in flüchtlingsrechtlich relevantem Ausmass glaubhaft zu machen. Im Weiteren wer­den in der Beschwerde keine Gründe vorgebracht, die gegen eine adäquate Schutzgewährung durch die kolumbianischen Behörden oder gegen die faktische Möglichkeit eines Schutzersuchens in einem anderen südamerikani­schen Staat sprechen würden. Das BFM hat daher zu Recht auf die Schutzwilligkeit der Sicherheitsbehörden in Kolumbien verwiesen und ferner erwogen, dass die Beschwerdeführenden keine besonders nahen Beziehungen zur Schweiz geltend gemacht haben und es ihnen zuzumuten ist, allenfalls in einem anderen Land - namentlich in dem Nachbarstaaten Brasilien, Ecuador, Panama und Peru um Asylgewährung nachzusuchen (alt Art. 52 Abs. 2 AsylG).</w:t>
      </w:r>
    </w:p>
    <w:p>
      <w:r>
        <w:rPr>
          <w:b/>
        </w:rPr>
        <w:t>E. 5.5</w:t>
      </w:r>
    </w:p>
    <w:p>
      <w:r>
        <w:t>Zusammenfassend hat das BFM nach Auffassung des Gerichts zu Recht und mit zutreffender Begründung die Erteilung der Einreisebewilligung verweigert und die Asylgesuche der Beschwerdeführenden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Beschwer­deführenden aufzuerlegen (Art. 63 Abs. 1 VwVG). Aus verwaltungsökonomischen Gründen respektive zufolge voraussichtlicher Uneinbringlichkeit der Kosten ist indes praxisgemäss von einer Kostenauflage abzusehen (vgl.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