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E-1292/2022 vom 31. März 2022</w:t>
      </w:r>
    </w:p>
    <w:p>
      <w:r>
        <w:t>Bundesverwaltungsgericht, 2022-03-31, FR</w:t>
      </w:r>
    </w:p>
    <w:p>
      <w:r>
        <w:rPr>
          <w:b/>
        </w:rPr>
        <w:t xml:space="preserve">Quelle: </w:t>
      </w:r>
      <w:r>
        <w:t>https://mcp.opencaselaw.ch/entscheid/bvger_E-1292_2022</w:t>
      </w:r>
    </w:p>
    <w:p>
      <w:r>
        <w:t>FR: TAF E-1292/2022 du 31 mars 2022</w:t>
      </w:r>
    </w:p>
    <w:p>
      <w:r>
        <w:t>IT: TAF E-1292/2022 del 31 marzo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la décision du SEM du 11 mars 2022 est annulée.</w:t>
      </w:r>
    </w:p>
    <w:p>
      <w:r>
        <w:rPr>
          <w:b/>
        </w:rPr>
        <w:t>E. 2</w:t>
      </w:r>
    </w:p>
    <w:p>
      <w:r>
        <w:t>Le SEM est invité à statuer sur la demande du 21 novembre 2021.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 recourant des dépens d'un montant de 600 francs.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