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E-1287/2017 vom 2. März 2017</w:t>
      </w:r>
    </w:p>
    <w:p>
      <w:r>
        <w:t>Bundesverwaltungsgericht, 2017-03-02, DE</w:t>
      </w:r>
    </w:p>
    <w:p>
      <w:r>
        <w:rPr>
          <w:b/>
        </w:rPr>
        <w:t xml:space="preserve">Quelle: </w:t>
      </w:r>
      <w:r>
        <w:t>https://mcp.opencaselaw.ch/entscheid/bvger_E-1287_2017</w:t>
      </w:r>
    </w:p>
    <w:p>
      <w:r>
        <w:t>FR: TAF E-1287/2017 du 2 mars 2017</w:t>
      </w:r>
    </w:p>
    <w:p>
      <w:r>
        <w:t>IT: TAF E-1287/2017 del 2 marzo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3.2</w:t>
      </w:r>
    </w:p>
    <w:p>
      <w:r>
        <w:t>Die vorinstanzliche Schlussfolgerung ist weder in tatsächlicher noch in rechtlicher Hinsicht zu beanstanden. Die Beschwerde zeigt nicht auf, inwiefern die Vorinstanz Bundesrecht verletzt oder den Sachverhalt fehlerhaft festgestellt haben soll. Solches ist auch nicht ersichtlich. So hat die Vorinstanz - aufgrund der Ausführungen des Beschwerdeführers - zu Recht die Zuständigkeit Deutschlands erkannt und die deutschen Behörden um Übernahme ersucht. Das Gesuch wurde gutgeheissen. Deutschland ist somit verpflichtet, die Person wieder aufzunehmen und angemessene Vorkehrungen für die Rückkehr zu treffen. Die Wiederholungen und pauschalen Einwände des Beschwerdeführers auf Beschwerdeebene - er wolle in der Schweiz seine Zukunft aufbauen, pflege hier Freundschaften und spiele im Theater mit - sind nicht geeignet, eine Verletzung der Zuständigkeitsbestimmungen darzutun. Schliesslich handelt es sich beim Beschwerdeführer um einen grundsätzlich gesunden, jungen Mann mit Reiseerfahrung. Um Wiederholungen zu vermeiden, ist auf die zutreffenden Ausführungen der Vorinstanz zu verweisen, die folgerichtig ein Selbsteintrittsrecht ausgeschlossen hat (Art. 17 Dublin-III-VO, Art. 29a Abs. 3 AsylV 1) und zu Recht auf das Asylgesuch nicht eingetreten ist.</w:t>
      </w:r>
    </w:p>
    <w:p>
      <w:r>
        <w:rPr>
          <w:b/>
        </w:rPr>
        <w:t>E. 4</w:t>
      </w:r>
    </w:p>
    <w:p>
      <w:r>
        <w:t>Aus diesen Erwägungen ergibt sich, dass die angefochtene Verfügung Bundesrecht nicht verletzt und auch sonst nicht zu beanstanden ist (Art. 106 AsylG und Art. 49 VwVG). Die Beschwerde ist abzuweisen. Damit ist der Antrag betreffend Wiederherstellung der aufschiebenden Wirkung gegenstandslos geworden.</w:t>
      </w:r>
    </w:p>
    <w:p>
      <w:r>
        <w:rPr>
          <w:b/>
        </w:rPr>
        <w:t>E. 5.1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5.2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