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E-1279/2019 vom 8. Juli 2019</w:t>
      </w:r>
    </w:p>
    <w:p>
      <w:r>
        <w:t>Bundesverwaltungsgericht, 2019-07-08, DE</w:t>
      </w:r>
    </w:p>
    <w:p>
      <w:r>
        <w:rPr>
          <w:b/>
        </w:rPr>
        <w:t xml:space="preserve">Quelle: </w:t>
      </w:r>
      <w:r>
        <w:t>https://mcp.opencaselaw.ch/entscheid/bvger_E-1279_2019</w:t>
      </w:r>
    </w:p>
    <w:p>
      <w:r>
        <w:t>FR: TAF E-1279/2019 du 8 juillet 2019</w:t>
      </w:r>
    </w:p>
    <w:p>
      <w:r>
        <w:t>IT: TAF E-1279/2019 del 8 luglio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Asylsuchende sind verpflichtet, an der Feststellung des Sachverhalts mitzuwirken (Art. 8 AsylG und Art. 2a Asylverordnung 1 über Verfahrensfragen [Asylverordnung 1, AsylV 1, SR 142.311]). Die verwaltungsrechtliche Offizialmaxime findet unter anderem ihre Grenzen an der Mitwirkungspflicht (vgl. BVGE 2014/12 E. 6 S. 213 f.).</w:t>
      </w:r>
    </w:p>
    <w:p>
      <w:r>
        <w:rPr>
          <w:b/>
        </w:rPr>
        <w:t>E. 4.4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5</w:t>
      </w:r>
    </w:p>
    <w:p>
      <w:r>
        <w:t>Die Vorinstanz hat weder den Massstab des Glaubhaftmachens noch die fehlende Flüchtlingseigenschaft verkannt und auf den vorliegenden Fall korrekt angewendet. Ihre Schlussfolgerung ist weder in tatsächlicher noch in rechtlicher Hinsicht zu beanstanden. Mit der Rechtsmitteleingabe gelingt es dem Beschwerdeführer nicht aufzuzeigen, inwiefern die vorinstanzliche Verfügung Bundesrecht verletzen oder zu einer rechtsfehlerhaften Sachverhaltsfeststellung führen soll. Solches ist auch nicht ersichtlich. Die vorinstanzliche Alterseinschätzung des Beschwerdeführers ([...]) wird auf Beschwerdeebene nicht in Frage gestellt, womit der Beschwerdeführer implizit die vorinstanzliche Schlussfolgerung bestätigt, im vorinstanzlichen Verfahren ein falsches Geburtsdatum angegeben zu haben. Hinzu kommt, dass seine Fluchtvorbringen (siehe Sachverhalt Bst. A) in sich unglaubhaft und von gravierenden Widersprüchen geprägt sind. So will er namentlich von den Taliban geflohen beziehungsweise von den Taliban in die Nähe seines Elternhauses gebracht worden sein. Letzteres existiere nicht mehr beziehungsweise existiere nach wie vor. Neben einer Vielzahl weiterer Widersprüche ist namentlich nicht nachvollziehbar, weshalb die Flucht von den Taliban erst nach fünf Jahren geglückt sein soll, er dennoch keine genaueren Ortsangaben machen oder er hiernach noch eineinhalb Jahre die Koranschule besuchen konnte. Die Erklärungsversuche auf Beschwerdeebene sind nicht geeignet, an dieser Einschätzung etwas zu ändern. Es trifft zwar zu, dass der Beschwerdeführer Paschtu als Muttersprache angab (SEM-Akten, A7, S. 4). Er gab indessen auch zu Protokoll, Urdu zu beherrschen (ebd.). In beiden Befragungen (beide auf Urdu durchgeführt) hat er mündlich und schriftlich bestätigt, die Dolmetscherin beziehungsweise den Dolmetscher gut verstanden zu haben (SEM-Akten, A7, S. 2, 12 und A22, S. 1, 16). Den Befragungsprotokollen sind keine Übersetzungsprobleme zu entnehmen. Letztere sind der anwesenden Hilfswerksvertretung auch keine aufgefallen, was sie sonst festgehalten hätte (Unterschriftenblatt der Hilfswerksvertretung, SEM-Akten, A22, S. 17). Um Wiederholungen zu vermeiden, ist auf die ausführlichen Erwägungen der Vorinstanz zu verweisen, die zu Recht das Asylgesuch des Beschwerdeführers ablehnte.</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In Pakistan herrscht keine generelle Situation allgemeiner Gewalt (vgl. Urteil des BVGer E-5352/2017 vom 12. Februar 2019 E. 9.3.1 m.w.H.). Es liegen auch keine individuellen Vollzugshindernisse vor. Der junge und gesunde Beschwerdeführer verfügt eigenen Angaben zufolge vor Ort über Schulbildung, Arbeitserfahrung und ein tragfähiges Beziehungsnetz (Eltern, Geschwister, Tanten, Onkel etc.). Dass er mit gewissen Verwandten in letzter Zeit keinen Kontakt mehr gepflegt haben will, ändert hieran nichts. Auf Beschwerdeebene wird dem nichts Stichhaltiges entgegengestellt. Der Vollzug der Wegweisung ist sowohl in genereller als auch in individueller Hinsicht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AIG). Der entsprechende Beschwerdeantrag ist abzuweisen.</w:t>
      </w:r>
    </w:p>
    <w:p>
      <w:r>
        <w:rPr>
          <w:b/>
        </w:rPr>
        <w:t>E. 8</w:t>
      </w:r>
    </w:p>
    <w:p>
      <w:r>
        <w:t>Aus diesen Erwägungen ergibt sich, dass die angefochtene Verfügung Bundesrecht nicht verletzt und auch sonst nicht zu beanstanden ist (Art. 106 AsylG und Art. 49 VwVG). Die Beschwerde ist abzuweisen. Nach dem Gesagten besteht kein Anlass, die Sache an die Vorinstanz zurückzuweisen. Der entsprechende Beschwerdeantrag ist ebenfalls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