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E-1276/2023 vom 24. März 2023</w:t>
      </w:r>
    </w:p>
    <w:p>
      <w:r>
        <w:t>Bundesverwaltungsgericht, 2023-03-24, DE</w:t>
      </w:r>
    </w:p>
    <w:p>
      <w:r>
        <w:rPr>
          <w:b/>
        </w:rPr>
        <w:t xml:space="preserve">Quelle: </w:t>
      </w:r>
      <w:r>
        <w:t>https://mcp.opencaselaw.ch/entscheid/bvger_E-1276_2023</w:t>
      </w:r>
    </w:p>
    <w:p>
      <w:r>
        <w:t>FR: TAF E-1276/2023 du 24 mars 2023</w:t>
      </w:r>
    </w:p>
    <w:p>
      <w:r>
        <w:t>IT: TAF E-1276/2023 del 24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(Art. 23-25 Dublin-III-VO; «take back») findet demgegenüber grundsätzlich keine (erneute) Zuständigkeitsprüfung nach Kapitel III Dublin-III-VO mehr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3.6</w:t>
      </w:r>
    </w:p>
    <w:p>
      <w:r>
        <w:t>Ein Abgleich der Fingerabdrücke der Beschwerdeführerin mit der «Eurodac»-Datenbank ergab, dass diese am (...). November 2021 in Frankreich ein Asylgesuch eingereicht hatte. Das SEM ersuchte deshalb die französischen Behörden am (...). November 2022 um Wiederaufnahme der Beschwerdeführerin gestützt auf Art. 18 Abs. 1 Bst. b, c oder d Dublin-III-VO. Die französischen Behörden stimmten dem Gesuch um Übernahme gemäss Art. 18 Abs. 1 Bst. b Dublin-III-VO am (...). November 2022 zu.</w:t>
      </w:r>
    </w:p>
    <w:p>
      <w:r>
        <w:rPr>
          <w:b/>
        </w:rPr>
        <w:t>E. 3.7.1</w:t>
      </w:r>
    </w:p>
    <w:p>
      <w:r>
        <w:t>Die Beschwerdeführerin bestreitet nicht, in Frankreich ein Asylgesuch eingereicht zu haben; sie beruft sich auch explizit nicht auf Schwachstellen in Frankreich, weder hinsichtlich des dortigen Asyl- und Aufnahmesystems noch in Bezug auf die Aufnahmebedingungen oder die medizinische Infrastruktur (vgl. Beschwerde, S. 6). Sie bringt indessen vor, sie sei mit einem Landsmann verlobt, welcher in der Schweiz als Flüchtling anerkannt und vorläufig aufgenommen worden sei. Sie hätten beim Zivilstandsamt G._______ ein Ehevorbereitungsverfahren eingeleitet. Aus dieser Beziehung ergebe sich eine Zuständigkeit der Schweiz für ihr Asylverfahren gestützt auf Art. 9 Dublin-III-VO, da sie angesichts ihrer dauerhaften Beziehung als Familienangehörige ihres Verlobten im Sinne von Art. 2 Bst. g Dublin-III-VO zu qualifizieren sei (vgl. Eingabe vom 28. November 2022, Sachverhalt oben, Bst. L).</w:t>
      </w:r>
    </w:p>
    <w:p>
      <w:r>
        <w:rPr>
          <w:b/>
        </w:rPr>
        <w:t>E. 3.7.2</w:t>
      </w:r>
    </w:p>
    <w:p>
      <w:r>
        <w:t>Vorliegend handelt es sich indessen um eine «Take-back»-Konstellation, bei der - wie oben dargelegt (vgl. E. 3.2) - keine erneute Zuständigkeitsprüfung nach Kapitel III der Dublin-III-VO (Art. 8-15) durchzuführen ist. Diesbezüglich ist anzumerken, dass das SEM die französischen Behörden im Übernahmeersuchen vom (...). November 2022 davon in Kenntnis setzte, dass die Beschwerdeführerin angegeben hatte, einen in der Schweiz wohnhaften Landsmann im Dezember 2021 in N._______ religiös geheiratet zu haben (vgl. A23, S. 3), sie also bei der Prüfung und Bejahung ihrer Zuständigkeit im Besitz sämtlicher relevanten Informationen waren. Demnach besteht kein Anlass, eine Zuständigkeit der Schweiz gestützt auf die Bestimmung von Art. 9 Dublin-III-VO zu prüfen. Die diesbezüglichen materiellen Ausführungen in der Beschwerdeeingabe erweisen sich demnach als nicht ausschlaggebend.</w:t>
      </w:r>
    </w:p>
    <w:p>
      <w:r>
        <w:rPr>
          <w:b/>
        </w:rPr>
        <w:t>E. 3.7.3</w:t>
      </w:r>
    </w:p>
    <w:p>
      <w:r>
        <w:t>Demzufolge kann auch nicht von einer unvollständigen Feststellung des Sachverhalts ausgegangen werden. Der Eventualantrag auf Rückweisung der Sache an die Vorinstanz zur Neubeurteilung ist deshalb abzuweisen.</w:t>
      </w:r>
    </w:p>
    <w:p>
      <w:r>
        <w:rPr>
          <w:b/>
        </w:rPr>
        <w:t>E. 3.7.4</w:t>
      </w:r>
    </w:p>
    <w:p>
      <w:r>
        <w:t>Die grundsätzliche Zuständigkeit Frankreichs ist somit gegeben.</w:t>
      </w:r>
    </w:p>
    <w:p>
      <w:r>
        <w:rPr>
          <w:b/>
        </w:rPr>
        <w:t>E. 4.1</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4.2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ist davon auszugehen,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4.3</w:t>
      </w:r>
    </w:p>
    <w:p>
      <w:r>
        <w:t>Das Bundesverwaltungsgericht geht in ständiger Rechtsprechung davon aus, dass das französische Asylsystem keine systemischen Mängel im Sinne von Art. 3 Abs. 2 zweiter Satz Dublin-III-VO aufweist (vgl. statt vieler Urteile des BVGer D-4841/2022 vom 31. Oktober 2022 sowie E-4913/2022 vom 7. November 2022 E. 4.2). Dies wird auch von der Beschwerdeführerin ausdrücklich anerkannt (vgl. Beschwerde, S. 6). Für eine Änderung dieser Rechtsprechung besteht keine Veranlassung.</w:t>
      </w:r>
    </w:p>
    <w:p>
      <w:r>
        <w:rPr>
          <w:b/>
        </w:rPr>
        <w:t>E. 4.4</w:t>
      </w:r>
    </w:p>
    <w:p>
      <w:r>
        <w:t>Unter diesen Umständen ist die Anwendung von Art. 3 Abs. 2 Dublin-III-VO nicht gerechtfertigt.</w:t>
      </w:r>
    </w:p>
    <w:p>
      <w:r>
        <w:rPr>
          <w:b/>
        </w:rPr>
        <w:t>E. 4.5</w:t>
      </w:r>
    </w:p>
    <w:p>
      <w:r>
        <w:t>Die Vermutung, Frankreich beachte als Mitglied des Gemeinsamen Europäischen Asylsystems und Vertragsstaat der vorstehend erwähnten völkerrechtlichen Abkommen die Menschenrechte, kann im Einzelfall widerlegt werden (vgl. BVGE 2010/45 E. 7.4 f.; Urteil des BVGer D-5698/2017 vom 6. März 2018 E. 5.3.1). Die Beschwerdeführerin trägt jedoch keine entsprechenden Ansätze vor.</w:t>
      </w:r>
    </w:p>
    <w:p>
      <w:r>
        <w:rPr>
          <w:b/>
        </w:rPr>
        <w:t>E. 4.6</w:t>
      </w:r>
    </w:p>
    <w:p>
      <w:r>
        <w:t>Sie hat kein konkretes und ernsthaftes Risiko dargetan, die französischen Behörden würden sich weigern, sie wieder aufzunehmen und ihren Antrag auf internationalen Schutz unter Einhaltung der Regeln der Verfahrensrichtlinie zu prüfen. Den Akten sind denn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w:t>
      </w:r>
    </w:p>
    <w:p>
      <w:r>
        <w:rPr>
          <w:b/>
        </w:rPr>
        <w:t>E. 4.7</w:t>
      </w:r>
    </w:p>
    <w:p>
      <w:r>
        <w:t>Ausserdem hat die Beschwerdeführerin nicht dargetan, die sie bei einer Rückführung erwartenden Bedingungen in Frankreich seien derart schlecht, dass sie zu einer Verletzung von Art. 4 der EU-Grundrechtecharta, Art. 3 EMRK oder Art. 3 FoK führen könnten. Sie auch keine konkreten Hinweise für die Annahme dargetan, Frankreich würde ihr dauerhaft die ihr gemäss Aufnahmerichtlinie zustehenden minimalen Lebensbedingungen vorenthalten.</w:t>
      </w:r>
    </w:p>
    <w:p>
      <w:r>
        <w:rPr>
          <w:b/>
        </w:rPr>
        <w:t>E. 4.7.1</w:t>
      </w:r>
    </w:p>
    <w:p>
      <w:r>
        <w:t>Aus den Akten geht hervor, dass sie bereits in der Türkei an körperlichen Beschwerden gelitten hat (vgl. oben, Bst. F) und während ihres Verfahrens in der Schweiz gynäkologische Beschwerden diagnostiziert worden sind (vgl. oben, Sachverhalt Bst. G).</w:t>
      </w:r>
    </w:p>
    <w:p>
      <w:r>
        <w:rPr>
          <w:b/>
        </w:rPr>
        <w:t>E. 4.7.2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seines Gesundheitszustands ausgesetzt zu werden, die zu intensivem Leiden oder einer erheblichen Verkürzung der Lebenserwartung führen würde (vgl. Urteil des EGMR Paposhvili gegen Belgien 13. Dezember 2016, Grosse Kammer, 41738/10, §§ 180-193 m.w.H.).</w:t>
      </w:r>
    </w:p>
    <w:p>
      <w:r>
        <w:rPr>
          <w:b/>
        </w:rPr>
        <w:t>E. 4.7.3</w:t>
      </w:r>
    </w:p>
    <w:p>
      <w:r>
        <w:t>Eine solche Situation ist vorliegend aufgrund der aktenkundigen und geschilderten gesundheitlichen Beeinträchtigungen nicht gegeben. Die Beschwerdeführerin hat nicht vorgetragen, dass eine Überstellung nach Frankreich ihre Gesundheit ernsthaft gefährden würde. Sie anerkennt vielmehr explizit die dort vorliegende medizinische Infrastruktur (vgl. Beschwerde, S. 6). Die gesundheitlichen Beschwerden sind zwar ernst zu nehmen, aber nicht von einer derartigen Schwere, dass aus humanitären Gründen von einer Überstellung abgesehen werden müsste. Daran ändern auch die geltend gemachten psychischen Beschwerden nichts, zumal diese nicht weiter belegt wurden. Entsprechend liegt auch diesbezüglich keine Verletzung der Sachverhaltsabklärungspflicht durch die Vorinstanz vor, welche eine Rückweisung der Sache an das SEM rechtfertigen würde.</w:t>
      </w:r>
    </w:p>
    <w:p>
      <w:r>
        <w:rPr>
          <w:b/>
        </w:rPr>
        <w:t>E. 4.7.4</w:t>
      </w:r>
    </w:p>
    <w:p>
      <w:r>
        <w:t>Bei einem allfälligen Fortbestehen der attestierten gesundheitlichen Einschränkungen könnte sich die Beschwerdeführerin im Übrigen nötigenfalls an die französischen Behörden wenden und die ihr zustehenden Aufnahmebedingungen auf dem Rechtsweg einfordern (vgl. Art. 26 Aufnahmerichtlinie).</w:t>
      </w:r>
    </w:p>
    <w:p>
      <w:r>
        <w:rPr>
          <w:b/>
        </w:rPr>
        <w:t>E. 4.8</w:t>
      </w:r>
    </w:p>
    <w:p>
      <w:r>
        <w:t>Im Übrigen ist festzustellen, dass die Beschwerdeführerin auch aus dem Grundsatz der Einheit der Familie gemäss Art. 8 EMRK nichts zu ihren Gunsten ableiten kann.</w:t>
      </w:r>
    </w:p>
    <w:p>
      <w:r>
        <w:rPr>
          <w:b/>
        </w:rPr>
        <w:t>E. 4.8.1</w:t>
      </w:r>
    </w:p>
    <w:p>
      <w:r>
        <w:t>Der Schutz des Familienlebens ist gemäss Art. 8 EMRK im Dublin-Verfahren zu berücksichtigen, soweit eine tatsächlich gelebte Beziehung besteht. Gemäss Lehre und Praxis kann sich jemand aber nur dann auf den Schutz des Familienlebens nach Art. 8 EMRK berufen, wenn eine nahe, echte und tatsächlich gelebte familiäre Beziehung vorliegt, wobei als wesentliche Faktoren das gemeinsame Wohnen respektive der gemeinsame Haushalt, die finanzielle Verflochtenheit, die Länge und Stabilität der Beziehung sowie das Interesse und die Bindung der Partner aneinander zu berücksichtigen sind (vgl. Grabenwarter / Pabel, Europäische Menschenrechtskonvention, 6. Aufl., München/Basel/Wien 2016, S. 204 und statt vieler die Urteile des BVGer D-3768/2020 vom 17. November 2020 E. 6.2 oder E-736/2019 vom 2. November 2020 E. 8.2.2). Der Anspruch auf ein Zusammenleben gilt allerdings auch bei einer nahen, echten und tatsächlich gelebten familiären Beziehung im Sinne von Art. 8 EMRK nicht absolut, sondern es hat vielmehr eine Abwägung zwischen dem Interesse an der Erteilung beziehungsweise am Erhalt des Anwesenheitsrechts und dem öffentlichen Interesse an dessen Verweigerung stattzufinden (vgl. BGE 139 I 330 E. 2.2 f. m.w.H.).</w:t>
      </w:r>
    </w:p>
    <w:p>
      <w:r>
        <w:rPr>
          <w:b/>
        </w:rPr>
        <w:t>E. 4.8.2</w:t>
      </w:r>
    </w:p>
    <w:p>
      <w:r>
        <w:t>Die Beschwerdeführerin lernte gemäss ihren eigenen Angaben ihren Partner im Jahr 2014 kennen. Seit (...) 2021 seien sie in einer Beziehung respektive «physisch ein Paar» (vgl. Akte 18, S. 2). Im (...) 2021 hätten sie sich in N._______ religiös getraut. Die Beschwerdeführerin befindet sich seit Ende September 2022 in der Schweiz. Bei dieser Ausgangslage kann nicht von einer bestehenden dauerhaften und tatsächlich gelebten familiären Beziehung zwischen der Beschwerdeführerin und ihrem Verlobten im Sinne der genannten Rechtsprechung ausgegangen werden. Hieran vermögen auch angeblich seit November 2021 bestehende (unbelegt gebliebene) finanzielle Unterstützungsleistungen, die Bemühungen um eine Privatunterbringung bei ihrem Partner in der Schweiz und das eingeleitete Ehevorbereitungsverfahren nichts zu ändern. Es kann der Beschwerdeführerin zugemutet werden, den Ausgang des Ehevorbereitungsverfahrens in Frankreich abzuwarten, zumal weder der persönliche noch der telefonische Kontakt zu ihrem Partner durch die Überstellung in diesen Nachbarstaat der Schweiz verunmöglicht wird.</w:t>
      </w:r>
    </w:p>
    <w:p>
      <w:r>
        <w:rPr>
          <w:b/>
        </w:rPr>
        <w:t>E. 4.8.3</w:t>
      </w:r>
    </w:p>
    <w:p>
      <w:r>
        <w:t>Nach dem Gesagten ist in Übereinstimmung mit der Vorinstanz das Vorliegen eines in den Schutzbereich von Art. 8 EMRK fallenden Familienlebens zu verneinen. Demnach besteht insoweit keine völkerrechtliche Verpflichtung der Schweiz zu einem Selbsteintritt nach Art. 17 Abs. 1 Dublin-III-VO.</w:t>
      </w:r>
    </w:p>
    <w:p>
      <w:r>
        <w:rPr>
          <w:b/>
        </w:rPr>
        <w:t>E. 4.9</w:t>
      </w:r>
    </w:p>
    <w:p>
      <w:r>
        <w:t>Gemäss Praxis des Bundesverwaltungsgerichts verfügt das SEM bei der Anwendung der Kann-Bestimmung von Art. 29a Abs. 3 der Asylverordnung 1 vom 11. August 1999 (AsylV 1, SR 142.311) über einen Ermessensspielraum (vgl. BVGE 2015/9 E. 7 f.). Den Akten sind keine Hinweise auf einen Ermessensmissbrauch oder ein Über- respektive Unterschreiten des Ermessens zu entnehmen (vgl. Art. 106 Abs. 1 Bst. a AsylG). Das Bundesverwaltungsgericht enthält sich unter diesen Umständen weiterer Ausführungen zur Frage eines Selbsteintritts.</w:t>
      </w:r>
    </w:p>
    <w:p>
      <w:r>
        <w:rPr>
          <w:b/>
        </w:rPr>
        <w:t>E. 4.10</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4.11</w:t>
      </w:r>
    </w:p>
    <w:p>
      <w:r>
        <w:t>Somit bleibt Frankreich der für die Behandlung des Asylgesuches der Beschwerdeführerin zuständige Mitgliedstaat gemäss Dublin-III-VO. Frankreich ist verpflichtet, das Asylverfahren gemäss Art. 23, 24, 25 und 29 wieder aufzunehmen.</w:t>
      </w:r>
    </w:p>
    <w:p>
      <w:r>
        <w:rPr>
          <w:b/>
        </w:rPr>
        <w:t>E. 5</w:t>
      </w:r>
    </w:p>
    <w:p>
      <w:r>
        <w:t>Das SEM ist demnach zu Recht in Anwendung von Art. 31a Abs. 1 Bst. b AsylG auf das Asylgesuch der Beschwerdeführerin nicht eingetreten.</w:t>
      </w:r>
    </w:p>
    <w:p>
      <w:r>
        <w:rPr>
          <w:b/>
        </w:rPr>
        <w:t>E. 6</w:t>
      </w:r>
    </w:p>
    <w:p>
      <w:r>
        <w:t>Nach dem Gesagten ist die Beschwerde abzuweisen und die Verfügung des SEM zu bestätigen. Das Beschwerdeverfahren wird mit diesem Urteil abgeschlossen. Die Anträge auf Gewährung der aufschiebenden Wirkung und auf Befreiung von der Kostenvorschusspflicht erweisen sich als gegenstandslos. Der am 7. März 2023 angeordnete provisorische Vollzugsstopp fällt dahin.</w:t>
      </w:r>
    </w:p>
    <w:p>
      <w:r>
        <w:rPr>
          <w:b/>
        </w:rPr>
        <w:t>E. 7.1</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7.2</w:t>
      </w:r>
    </w:p>
    <w:p>
      <w:r>
        <w:t>Die Verfahrenskosten sind bei diesem Ausgang des Verfahrens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