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E-1274/2022 vom 9. März 2022</w:t>
      </w:r>
    </w:p>
    <w:p>
      <w:r>
        <w:t>Bundesverwaltungsgericht, 2022-03-09, DE</w:t>
      </w:r>
    </w:p>
    <w:p>
      <w:r>
        <w:rPr>
          <w:b/>
        </w:rPr>
        <w:t xml:space="preserve">Quelle: </w:t>
      </w:r>
      <w:r>
        <w:t>https://mcp.opencaselaw.ch/entscheid/bvger_E-1274_2022_d20220309</w:t>
      </w:r>
    </w:p>
    <w:p>
      <w:r>
        <w:t>FR: TAF E-1274/2022 du 9 mars 2022</w:t>
      </w:r>
    </w:p>
    <w:p>
      <w:r>
        <w:t>IT: TAF E-1274/2022 del 9 marzo 2022</w:t>
      </w:r>
    </w:p>
    <w:p>
      <w:pPr>
        <w:pStyle w:val="Heading2"/>
      </w:pPr>
      <w:r>
        <w:t>Regeste</w:t>
      </w:r>
    </w:p>
    <w:p>
      <w:r>
        <w:t>Nichteintreten auf Asylgesuch und Wegweisung (Dublin-Verfahren) | Nichteintreten auf Asylgesuch und Wegweisung (Dublin-Verfahren); Verfügung des SEM vom 9. März 2022</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w:t>
      </w:r>
    </w:p>
    <w:p>
      <w:r>
        <w:t>E-1274/2022 Seite 8 26. Juni 2013 zur Festlegung von Normen für die Aufnahme von Personen, die internationalen Schutz beantragen (sog. Aufnahmerichtlinie) ergeben, dass unter diesen Umständen die Anwendung von Art. 3 Abs. 2 Satz 2 Dublin-III-VO nicht gerechtfertigt ist, dass die Beschwerdeführerin mit dem Vorbringen, sie möchte mit B._______ in der Schweiz zusammenleben, und der in diesem Zusammen- hang erfolgten Berufung auf Art. 8 EMRK, die Anwendung der Ermessens- klausel von Art. 17 Abs. 1 Dublin-III-VO respektive der – das Selbsteintritts- recht im Landesrecht konkretisierenden – Bestimmung von Art. 29a Abs. 3 der Asylverordnung 1 vom 11. August 1999 (AsylV 1, SR 142.311) fordert, dass bei einer Gefährdung der Einheit der Familie gemäss Art. 8 EMRK die Souveränitätsklausel nach Art. 17 Abs. 1 Dublin-III-VO anzuwenden ist (vgl. BVGE 2013/24 E. 5), dass Art. 8 EMRK unter dem Aspekt von Art. 17 Abs. 1 Dublin-III-VO zu berücksichtigen ist, soweit eine tatsächlich gelebte Beziehung besteht, wo- bei diesbezüglich als wesentliche Faktoren das gemeinsame Wohnen res- pektive der gemeinsame Haushalt, die finanzielle Verflochtenheit, die Länge und Stabilität der Beziehung sowie das Interesse und die Bindung der Partner aneinander zu berücksichtigen sind (vgl. GRABENWARTER/PA- BEL, Europäische Menschenrechtskonvention, 2012, S. 235 f.; MARK E. VILLIGER, Handbuch der Europäischen Menschenrechtskonvention, 1999, S. 365; Urteil des EGMR K. und T. gegen Finnland [Grosse Kammer] vom</w:t>
      </w:r>
    </w:p>
    <w:p>
      <w:r>
        <w:rPr>
          <w:b/>
        </w:rPr>
        <w:t>E. 12</w:t>
      </w:r>
    </w:p>
    <w:p>
      <w:r>
        <w:t>Juli 2001, Nr. 25702/94, § 150), dass die Beschwerdeführerin und B._______ wie zuvor festgestellt unbe- strittenermassen nicht zivilrechtlich verheiratet sind und für die geltend ge- machte religiöse Trauung, die im Mai 2021 in Abwesenheit von B._______ in C._______ erfolgt sei, kein rechtsgenüglicher Nachweis besteht, dass das Vorbringen der Beschwerdeführerin in der Beschwerde, wonach religiöse Trauungen nach dem C._______ Personalstatutengesetz auch in Abwesenheit des Ehemanns beziehungsweise die Stellvertretung bei der Eheschliessung möglich seien, zwar durchaus zutreffen mag, jedoch kein offizielles Heiratsdokument vorliegt und die zu den Akten gereichten Foto- grafien des Paars eine religiöse Vermählung nicht zu belegen vermögen, dass auch wenn die Behauptung, das Paar kenne sich schon ein Leben lang und seit 2019 habe man beinahe täglich über Video, WhatsApp und</w:t>
      </w:r>
    </w:p>
    <w:p>
      <w:r>
        <w:t>E-1274/2022 Seite 9 andere soziale Kanäle Kontakt, zutreffen mag, die Beschwerdeführerin und B._______ jedoch gerade erst die Volljährigkeit erreicht haben und die Be- schwerdeführerin sich zudem erst seit Februar 2022 in der Schweiz aufhält und die Beziehung zuvor lediglich über virtuellen Kontakt gepflegt worden war, nicht auf eine eheähnliche dauerhafte Beziehung schliessen lässt, dass auch der Verweis auf das hierzulande am 8. März 2022 eingereichte Gesuch um Ehevorbereitung diesen Beleg nicht zu erbringen vermag, dass B._______ demnach nicht zur Kernfamilie der Beschwerdeführerin zu zählen ist, und in Übereinstimmung mit der Vorinstanz aufgrund der Akten- lage auch nicht von einer dauerhaften, gefestigten, und bereits seit länge- rer Zeit tatsächlich gelebten, eng verflochtenen Beziehung im Sinne von Art. 8 EMRK ausgegangen werden kann, dass zudem hinsichtlich des Ehevorbereitungsverfahrens, das hängig sei, festzuhalten ist, dass ein solches nicht zwingend die Anwesenheit beider Brautleute in der Schweiz bedingt (vgl. Art. 62 ff. der Zivilstandsverordnung vom 28. April 2004 [ZStV, SR 211.112.2]), und dieses durch die Beschwer- deführerin auch in Deutschland abgewartet werden kann, dass damit die Souveränitätsklausel nach Art. 17 Abs. 1 Dublin-III-VO nicht aufgrund einer Gefährdung der Einheit der Familie anzuwenden ist, dass den Akten auch keine Gründe für die Annahme zu entnehmen sind, Deutschland werde in ihrem Fall den Grundsatz des Non-Refoulement missachten und sie zur Ausreise in ein Land zwingen, in dem ihr Leib, ihr Leben oder ihre Freiheit aus einem Grund nach Art. 3 Abs. 1 AsylG gefähr- det ist oder in dem sie Gefahr laufen würde, zur Ausreise in ein solches Land gezwungen zu werden, dass die Beschwerdeführerin sodann keine konkreten Hinweise für die An- nahme dargetan hat, Deutschland würde ihr dauerhaft die ihr gemäss Auf- nahmerichtlinie zustehenden minimalen Lebensbedingungen vorenthalten, und sich bei einer vorübergehenden Einschränkung im Übrigen nötigen- falls an die deutschen Behörden wenden und die ihr zustehenden Aufnah- mebedingungen auf dem Rechtsweg einfordern könnte (vgl. Art. 26 Auf- nahmerichtlinie), dass die Beschwerdeführerin keine gesundheitlichen Probleme vor- brachte, und die Mitgliedstaaten im Übrigen den Antragstellern auch die erforderliche medizinische Versorgung, die zumindest die Notversorgung</w:t>
      </w:r>
    </w:p>
    <w:p>
      <w:r>
        <w:t>E-1274/2022 Seite 10 und die unbedingt erforderliche Behandlung von Krankheiten und schwe- ren psychischen Störungen umfasst, zugänglich machen müssen (Art. 19 Abs. 1 Aufnahmerichtlinie), und den Antragstellern mit besonderen Bedürf- nissen die erforderliche medizinische oder sonstige Hilfe (einschliesslich erforderlichenfalls einer geeigneten psychologischen Betreuung) zu ge- währen haben (Art. 19 Abs. 2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 halts- oder Niederlassungsbewilligung ist – in Anwendung von Art. 44 AsylG die Überstellung nach Deutschland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der Beschwerde und auf Verzicht auf die Erhebung eines Kostenvorschusses als gegenstandslos erweisen,</w:t>
      </w:r>
    </w:p>
    <w:p>
      <w:r>
        <w:t>E-1274/2022 Seite 11 dass das Gesuch um Gewährung der unentgeltlichen Prozessführung ab- zuweisen ist, da die Begehren – wie sich aus den vorstehenden Erwägun- gen ergibt – als aussichtslos zu bezeichnen waren, weshalb die Voraus- setzungen von Art. 65 Abs. 1 VwVG nicht erfüllt sind, dass bei diesem Ausgang des Verfahrens die Kosten von Fr. 750.– (Art. 1‒ 3 des Reglements vom 21. Februar 2008 über die Kosten und Entschädi- gungen vor dem Bundesverwaltungsgericht [VGKE, SR 173.320.2]) der Beschwerdeführerin aufzuerlegen sind (Art. 63 Abs. 1 VwVG).</w:t>
      </w:r>
    </w:p>
    <w:p>
      <w:r>
        <w:t>(Dispositiv nächste Seite)</w:t>
      </w:r>
    </w:p>
    <w:p>
      <w:r>
        <w:t>E-1274/2022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