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E-1270/2026 vom 21. April 2026</w:t>
      </w:r>
    </w:p>
    <w:p>
      <w:r>
        <w:t>Bundesverwaltungsgericht, 2026-04-21, DE</w:t>
      </w:r>
    </w:p>
    <w:p>
      <w:r>
        <w:rPr>
          <w:b/>
        </w:rPr>
        <w:t xml:space="preserve">Quelle: </w:t>
      </w:r>
      <w:r>
        <w:t>https://mcp.opencaselaw.ch/entscheid/bvger_E-1270_2026</w:t>
      </w:r>
    </w:p>
    <w:p>
      <w:r>
        <w:t>FR: TAF E-1270/2026 du 21 avril 2026</w:t>
      </w:r>
    </w:p>
    <w:p>
      <w:r>
        <w:t>IT: TAF E-1270/2026 del 21 aprile 2026</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endgültig (vgl. Art. 83 Bst. d Ziff. 1 BGG; Art. 105 AsylG [SR 142.31]).</w:t>
      </w:r>
    </w:p>
    <w:p>
      <w:r>
        <w:rPr>
          <w:b/>
        </w:rPr>
        <w:t>E. 1.2</w:t>
      </w:r>
    </w:p>
    <w:p>
      <w:r>
        <w:t>Die Beschwerdeführenden sind als Verfügungsadressaten zur Beschwerdeführung legitimiert (Art. 48 VwVG). Auf die frist- und formgerecht eingereichte Beschwerde (Art. 108 Abs. 6 AsylG und Art. 52 Abs. 1 VwVG) ist nach der fristgerechten Bezahlung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Das SEM hält in der angefochtenen Verfügung fest, eine Verfolgung durch Dritte sei für die Asylgewährung nur dann relevant, wenn der Herkunftsstaat keinen angemessenen Schutz gewähre. Das Bundesverwaltungsgericht gehe in diesem Zusammenhang in gefestigter Praxis von der Schutzfähigkeit und Schutzbereitschaft der türkischen Behörden betreffend Angriffe auf Frauen durch private Dritte, insbesondere im familiären Kontext, aus. Zudem seien die staatlichen Stellen diesbezüglich für die Betroffenen auch zugänglich. Aufgrund dessen könne festgehalten werden, dass die Beschwerdeführerin, sollte sie bei einer Rückkehr in die Türkei Probleme mit ihrer Familie beziehungsweise ihren Geschwistern erfahren, die Möglichkeit hätte, bei den heimatlichen Behörden um Schutz zu ersuchen. Ferner bestehe im vorliegenden Fall der dringende Verdacht, dass die Beschwerdeführerin mit ihrem neuen Gesuch und den darin geltend gemachten Vorbringen versuche, für sich und ihre Kinder ein Bleiberecht in der Schweiz zu erhalten. Es sei aufgrund ihrer bisherigen Angaben nicht nachvollziehbar, warum ihre Familie sich plötzlich gegen sie stellen und ihre Wiederverheiratung erzwingen solle. So gelte ihr Ehemann gemäss ihren Angaben lediglich als nicht erreichbar und nicht als verstorben. Die eingereichten Beweismittel würden an dieser Feststellung nichts zu ändern vermögen. Die eingereichten Ausdrucke von Screenshots der Anrufe und Nachrichten ihrer Geschwister könnten auch gezielt verfasst worden sein und würden deshalb in keiner Weise den Beweis dafür liefern, dass die Beschwerdeführerin tatsächlich bedroht werde. Dasselbe gelte für das Schreiben ihrer Seelsorgerin vom (...) 2024. Darin werde im Wesentlichen ausgeführt, dass es in ihrer Familie bereits ähnliche Fälle gegeben habe und ihre Schwester Opfer von Zwangsheirat geworden sei. Abgesehen davon, dass dieses Argument reichlich spät vorgebracht worden sei und somit als nachgeschoben angesehen werden müsse, sei zu bemerken, dass es angesichts der Aussagen, die die Beschwerdeführerin anlässlich der Anhörung während des ordentlichen Asylverfahrens gemacht habe, doch etwas erstaune, dass es in ihrer Familie Fälle von Zwangsehen geben solle.</w:t>
      </w:r>
    </w:p>
    <w:p>
      <w:r>
        <w:rPr>
          <w:b/>
        </w:rPr>
        <w:t>E. 4.2.1</w:t>
      </w:r>
    </w:p>
    <w:p>
      <w:r>
        <w:t>In der Beschwerdeschrift wurde im Wesentlichen entgegnet, die Beschwerdeführerin sei bereits in der Vergangenheit Opfer einer Zwangsheirat gewesen. Die damalige Ehe sei innerhalb eines patriarchal geprägten familiären Umfelds arrangiert und gegen ihren freien Willen durchgesetzt worden. Innerfamiliäre Gewalt und strukturelle Kontrolle hätten ihr gesamtes bisheriges Leben geprägt. Nach dem Tod des Vaters hätten die Brüder die dominante Entscheidungsgewalt innerhalb der Familie übernommen und würden seither die patriarchalen Machtstrukturen fortsetzen. Die Beschwerdeführerin sei in die Schweiz gekommen, um diesen Strukturen weitestgehend zu entkommen. Aktuell würden der Bruder und die Schwester der Beschwerdeführerin erheblichen Druck auf diese ausüben und sie ausdrücklich auffordern, erneut zu heiraten. Für den Fall der Weigerung hätten sie ihr gegenüber konkret angedroht, ihr die Kinder wegzunehmen. Diese Drohungen seien im sozio-kulturellen Kontext ihrer Herkunftsregion ernst zu nehmen und würden nicht als blosse familiäre Konflikte, sondern als Ausdruck eines strukturellen Zwangssystems, erscheinen. Als alleinstehende, nicht offiziell verheiratete Frau mit zwei Kindern befinde sich die Beschwerdeführerin in der Osttürkei in einer besonders vulnerablen Lage. Sie gelte aufgrund ihres Alters als sozial «schwer vermittelbar» und sei zusätzlich stigmatisiert, weil sie sich im Ausland aufgehalten habe. Vor diesem Hintergrund erscheine die Drohung der Kindeswegnahme als Mittel zur Durchsetzung einer erneuten Zwangsheirat realistisch und konkret. Zudem gebe es massenhaft Drohanrufe und Drohungen des Bruders, sie zu schlagen und zu töten. Diese Konstellation stelle eine geschlechtsspezifische Verfolgung im Sinne von Art. 3 AsylG dar, da sie unmittelbar an ihre Stellung als Frau in einem patriarchal geprägten Umfeld anknüpfe und grundlegende Menschenrechte erheblich beeinträchtige. Schliesslich sei die allgemeine Gefährdungslage für Frauen in der Türkei durch internationale Berichte belegt. Die staatlichen Schutzmechanismen würden sich in vielen Fällen als unzureichend erweisen. Das SEM verkenne, dass bei individueller Bedrohung durch familiäre oder gesellschaftliche Strukturen staatlicher Schutz faktisch oft nicht wirksam sei. Die Türkei sei sodann im Jahr 2021 aus der Istanbul Konvention ausgetreten. Auch stelle sich die Frage, ob die Schutzsuche der Beschwerdeführerin zuzumuten sei. Dabei spiele die ethnische Zugehörigkeit zu einer Minderheit eine erhebliche Rolle. Mit Verbindungen der Familie zur AKP sei es für die Beschwerdeführerin ausgeschlossen, vom türkischen Staat Schutz zu erhalten. Auch die Erfahrungen ihrer früheren Schwiegerfamilie mit Verbindungen zur PKK erschwere es ihr, Zugang zur staatlichen, namentlich polizeilichen Schutzinfrastruktur zu erhalten. Im Übrigen erweise sich die Annahme einer innerstaatlichen Fluchtalternative als nicht realistisch und rechtlich nicht tragbar. In der Türkei bestünden zentralisierte Melde- und Registrierungssysteme, über welche polizeiliche Einträge, strafrechtliche Verfahren sowie sonstige sicherheitsrelevante Informationen landesweit abrufbar seien. Darüber hinaus fehle es der Beschwerdeführerin an den für eine zumutbare innerstaatliche Fluchtalternative erforderlichen Existenzgrundlagen.</w:t>
      </w:r>
    </w:p>
    <w:p>
      <w:r>
        <w:rPr>
          <w:b/>
        </w:rPr>
        <w:t>E. 4.2.2</w:t>
      </w:r>
    </w:p>
    <w:p>
      <w:r>
        <w:t>Die Beschwerdeführenden reichten mit der Beschwerdeschrift die folgenden Beweismittel zu den Akten: - ein psychologischer Bericht betreffend die Beschwerdeführerin vom (...) 2026, wonach sich die Beschwerdeführerin aufgrund einer (...) in Behandlung befinde; - eine Stellungnahme der Beschwerdeführerin vom 23. Januar 2026, in der sie die Gründe für ihr Mehrfachgesuch schildert; - Screenshots betreffend die vorgebrachten Drohanrufe; - ein türkisches Trennungsdokument vom (...) 2023; - eine Teilnahmebestätigung eines Workshops von Save the Children Schweiz vom (...) 2025; - eine Bestätigung der Teilnahme an Deutschkursen vom (...) 2026; - mehrere Referenzschreiben von (...) und (...) 2026; - eine Statistik des FC F._______ betreffend den Sohn der Beschwerdeführerin; - Stellungnahmen der Schulen der Kinder vom (...) 2026.</w:t>
      </w:r>
    </w:p>
    <w:p>
      <w:r>
        <w:rPr>
          <w:b/>
        </w:rPr>
        <w:t>E. 4.3</w:t>
      </w:r>
    </w:p>
    <w:p>
      <w:r>
        <w:t>In ihrer Eingabe vom 18. März 2025 machten die Beschwerdeführenden unter Bezugnahme auf die Argumente des Gerichts in der Zwischenverfügung vom 3. März 2026 im Wesentlichen geltend, es sei zu betonen, dass der Beschwerdeführerin nicht zur Last gelegt werden könne, dass sie die erlebte Gewalt in ihrer Herkunftsfamilie bei der Befragung in der Schweiz nicht thematisiert habe. Zum Zeitpunkt der Einreise seien andere Gefährdungen, insbesondere die politische Verfolgung der Familie, im Vordergrund gestanden. Kulturelle Faktoren könnten erklären, dass Betroffene Gewalt oder Zwangssituationen nicht unmittelbar offenlegen würden, insbesondere wenn der Ehemann noch in das Verfahren involviert sei. Zudem sei es so, dass eine Fremdbestimmung in Bezug auf Heirat, das Nichtbeachten des eigenen diesbezüglichen Willens oder gar Gewaltandrohung im Falle einer Verweigerung oftmals als «normal» angesehen würden. Die Familie habe sich sodann auch nicht plötzlich gegen die Beschwerdeführerin gestellt, wie vom Gericht behauptet werde. Die Erwartung, sich im Falle einer Rückweisung in die Türkei an Polizeistellen zu wenden, erscheine schliesslich überhöht. Insbesondere vor dem Hintergrund der Erfahrungen der Beschwerdeführerin mit Gewalt durch die türkische Polizei und mit familiärem Druck sei eine eigenständige Durchsetzung der Rechte nicht zumutbar. Das Hinzuziehen einer Anwältin sei sodann derzeit nicht realistisch, insbesondere da die finanzielle Selbständigkeit der Beschwerdeführerin nicht gegeben sei und eingehend geprüft werden müsse, ob sie in der Lage sein würde, ihren Unterhalt selbständig zu bestreiten. Im Übrigen sei die Gefährdung der Kinder bislang nicht berücksichtigt worden. Eine Wegweisung ohne sorgfältige, kindeswohlorientierte Prüfung wäre unzulässig und würde die Gefährdungslage der Kinder sowie die Schutzbedürftigkeit der Beschwerdeführerin nicht hinreichend erfassen.</w:t>
      </w:r>
    </w:p>
    <w:p>
      <w:r>
        <w:rPr>
          <w:b/>
        </w:rPr>
        <w:t>E. 4.4</w:t>
      </w:r>
    </w:p>
    <w:p>
      <w:r>
        <w:t>In ihrer Eingabe vom 20. März 2026 führten die Beschwerdeführenden sodann im Wesentlichen aus, dass eine Wegweisung beziehungsweise eine Entscheidung, die zu einer Destabilisierung der aktuellen Lebensverhältnisse führe, eine konkrete Gefährdung des Kindeswohls darstelle und sich damit als unzulässig beziehungsweise zumindest als unverhältnismässig erweisen würde. Dabei sei zu beachten, dass sich die Kinder in einer entwicklungspsychologisch besonders sensiblen Übergangsphase (vom Kindes- zum Jugendalter) befinden würden und nach konstanter Rechtsprechung in einer solchen Konstellation dem Bedürfnis nach Stabilität und Kontinuität besonderes Gewicht beizumessen sei.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Argumente der Vorinstanz kann - mit den nachfolgenden Ergänzungen - verwiesen werden. Wie sogleich zu zeigen sein wird, vermögen die Einwände auf Beschwerdeebene zu keiner anderen Einschätzung zu führen.</w:t>
      </w:r>
    </w:p>
    <w:p>
      <w:r>
        <w:rPr>
          <w:b/>
        </w:rPr>
        <w:t>E. 6.2</w:t>
      </w:r>
    </w:p>
    <w:p>
      <w:r>
        <w:t>In Übereinstimmung mit den Ausführungen der Vorinstanz ist festzustellen, dass es unter Berücksichtigung der bisherigen Vorbringen der Beschwerdeführerin nicht plausibel erscheint, dass sich ihre Familie plötzlich gegen sie gestellt haben soll und ihre Wiederverheiratung erzwingen will. Daran vermögen auch die eingereichten Beweismittel nichts zu ändern, zumal die Screenshots der angeblichen Drohnachrichten und -anrufe leicht fälschbar sind beziehungsweise auch gezielt fabriziert worden sein können. Ferner ist darauf hinzuweisen, dass das beschwerdeweise Vorbringen, die Beschwerdeführerin sei bereits in der Vergangenheit Opfer einer Zwangsheirat geworden, in klarem Widerspruch zu ihren Ausführungen im ordentlichen Verfahren steht. So hat sie anlässlich ihrer Anhörung am 30. Oktober 2023 angegeben, dass sie, als sie älter geworden sei, ihren Ehemann kennengelernt habe, sie sich geliebt und schliesslich geheiratet hätten (Vorhaben 1284090: A22 F14). Auch im Schreiben der Seelsorgerin vom (...) 2025 ist schliesslich lediglich davon die Rede, dass die Schwester der Beschwerdeführerin Opfer einer Zwangsheirat geworden sei. Wäre die Beschwerdeführerin in der Vergangenheit tatsächlich selbst von Zwangsheirat betroffen gewesen, ist davon auszugehen, dass sie dies spätestens in ihrem Mehrfachgesuch vom 25. Februar 2025 geltend gemacht hätte. Im Übrigen findet auch ihr Vorbringen, sie sei aus der Türkei ausgereist, um den patriarchalen Machtstrukturen ihrer Familie zu entkommen, keinerlei Grundlage in den Akten des ordentlichen Verfahrens. Die diesbezüglichen Ausführungen sind daher auch unter Berücksichtigung ihres kulturellen Hintergrunds als nachgeschoben zu bewerten.</w:t>
      </w:r>
    </w:p>
    <w:p>
      <w:r>
        <w:rPr>
          <w:b/>
        </w:rPr>
        <w:t>E. 6.3</w:t>
      </w:r>
    </w:p>
    <w:p>
      <w:r>
        <w:t>Ferner wäre selbst bei Unterstellung der Glaubhaftigkeit der entsprechenden Vorbringen festzuhalten, dass eine Verfolgung durch nichtstaatliche Dritte aufgrund der Subsidiarität des flüchtlingsrechtlichen Schutzes nur dann flüchtlingsrechtlich relevant ist,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keine faktische Garantie des Schutzgewährers für langfristigen individuellen Schutz der von nichtstaatlicher Verfolgung bedrohten Person verlangt werden: Keinem Staat gelingt es, die absolute Sicherheit aller seiner Bürger jederzeit und überall zu garantieren (vgl. BVGE 2008/4 E. 5.2). Das Bundesverwaltungsgericht geht in ständiger Rechtsprechung davon aus, dass die türkischen Behörden grundsätzlich willens und in der Lage sind, bei Behelligungen oder Übergriffen seitens privater Drittpersonen Schutz zu gewähren und eine funktionierende Schutzinfrastruktur zur Verfügung zu stellen (vgl. statt vieler: Urteil des BVGer D-5377/2024 vom 19. November 2024 E. 7.3 m.w.H.). Ebenso kann rechtsprechungsgemäss von der Schutzfähigkeit und dem grundsätzlichen Schutzwillen der türkischen Behörden hinsichtlich des Umgangs mit Gewalt gegen Frauen ausgegangen werden (vgl. insbesondere das Referenzurteil des BVGer E-1948/2018 vom 12. Juni 2018 E. 5.2 ff., bestätigt u.a. im Urteil D-4762/2023 vom 20. September 2023 E. 5.2.2 ff., je m.w.H.). Das SEM hat daher in zutreffender Weise darauf hingewiesen, dass sich die Beschwerdeführerin bei erneuten Drohungen durch ihre Geschwister nach ihrer Rückkehr in die Türkei an die türkischen Behörden wenden kann, dies allenfalls auch mit der Hilfe eines Rechtsanwaltes beziehungsweise einer Rechtsanwältin. Dies ist ihr auch in Anbetracht ihrer bisherigen geltend gemachten Erfahrungen mit der Polizei zuzumuten. Ebenfalls machen fehlende finanzielle Mittel allein den Rechtsschutz nicht unzumutbar. Dass die türkischen Behörden im spezifischen Falle der Beschwerdeführenden nicht schutzwillig oder schutzfähig sind, lässt sich den Akten nicht entnehmen. Schliesslich ist in diesem Zusammenhang zu erwähnen, dass gestützt auf die Akten davon auszugehen ist, dass die Beschwerdeführenden - zumindest vorübergehend - zu ihrem Schwiegervater respektive Grossvater väterlicherseits zurückkehren können und dort eine gewisse Unterstützung namentlich zur Bewältigung ihres Lebensunterhalts erhalten werden, auch wenn dieser bereits (...) Jahre alt sein sollte.</w:t>
      </w:r>
    </w:p>
    <w:p>
      <w:r>
        <w:rPr>
          <w:b/>
        </w:rPr>
        <w:t>E. 6.4</w:t>
      </w:r>
    </w:p>
    <w:p>
      <w:r>
        <w:t>Zusammenfassend hat die Vorinstanz die Flüchtlingseigenschaft der Beschwerdeführenden zu Recht verneint und das Mehrfachgesuch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Dies gelingt ihnen nach dem oben Gesagten nicht. Auch die allgemeine Menschenrechtssituation in der Türkei lässt den Wegweisungsvollzug zum heutigen Zeitpunkt nicht als unzulässig erscheinen.</w:t>
      </w:r>
    </w:p>
    <w:p>
      <w:r>
        <w:rPr>
          <w:b/>
        </w:rPr>
        <w:t>E. 8.2.3</w:t>
      </w:r>
    </w:p>
    <w:p>
      <w:r>
        <w:t>Was die geltend gemachten gesundheitlichen Beeinträchtigungen der Beschwerdeführenden betrifft, ist festzuhalten, dass eine zwangsweise Wegweisung von Personen mit gesundheitlichen Problemen nur ganz ausnahmsweise einen Verstoss gegen Art. 3 EMRK darstellt. Die geltend gemachten medizinischen Leiden der Beschwerdeführerenden ([...], [...]) stellen sich nicht als derart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8.2.4</w:t>
      </w:r>
    </w:p>
    <w:p>
      <w:r>
        <w:t>Ferner steht auch das Kindeswohl der Zulässigkeit des Wegweisungsvollzugs nicht entgegen (vgl. hierzu nachfolgend E. 8.3.2).</w:t>
      </w:r>
    </w:p>
    <w:p>
      <w:r>
        <w:rPr>
          <w:b/>
        </w:rPr>
        <w:t>E. 8.2.5</w:t>
      </w:r>
    </w:p>
    <w:p>
      <w:r>
        <w:t>Nach dem Gesagten ist der Vollzug der Wegweisung sowohl im Sinn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auszugehen (vgl. Referenzurteil E-4103/2024 vom 8. November 2024 E. 13.4).</w:t>
      </w:r>
    </w:p>
    <w:p>
      <w:r>
        <w:rPr>
          <w:b/>
        </w:rPr>
        <w:t>E. 8.3.2</w:t>
      </w:r>
    </w:p>
    <w:p>
      <w:r>
        <w:t>Ferner sind auch in individueller Hinsicht keine Gründe ersichtlich, die gegen die Zumutbarkeit des Wegweisungsvollzugs sprechen. So ist in Übereinstimmung mit den Ausführungen des SEM festzuhalten, dass die Vorbringen der Beschwerdeführerin betreffend die Bedrohung durch ihre Familie als nicht glaubhaft erachtet werden, weshalb davon auszugehen ist, dass die Beschwerdeführenden bei der Rückkehr in die Türkei auf ein familiäres Unterstützungsnetz zurückgreifen können. Wie bereits zuvor ausgeführt, ist gestützt auf die Akten jedenfalls davon auszugehen, dass sie - zumindest vorübergehend - zu ihrem Schwiegervater respektive Grossvater väterlicherseits zurückkehren können und dort eine gewisse Unterstützung namentlich zur Bewältigung ihres Lebensunterhalts erhalten werden, auch wenn dieser bereits (...) Jahre alt sein sollte. Soweit mit den eingereichten Referenzschreiben sodann auf eine gelungene Integration der Beschwerdeführerin in der Schweiz hingewiesen werden soll, ist festzuhalten, dass diese für die Einschätzung des Wegweisungsvollzugs unbeachtlich ist. Was die gesundheitliche Situation der Beschwerdeführenden anbelangt, stellt das Gericht folgendes fest: Gemäss den bei den Akten liegenden Arztberichten wurden bei den Kindern (...) diagnostiziert. Die Beschwerdeführerin leidet unter (...). Diese gesundheitlichen Probleme sprechen nicht für eine medizinische Notlage, aufgrund welcher von der Unzumutbarkeit des Wegweisungsvollzugs auszugehen wäre. Die Türkei verfügt denn auch grundsätzlich über ein funktionierendes Gesundheitssystem (auch für die Behandlung psychischer Erkrankungen), das insbesondere in grösseren Städten dem europäischen Standard entspricht (vgl. statt vieler: Urteil des BVGer D-1053/2025 vom 10. Juni 2025 E. 8.3.4 m.w.H.). Unter dem Aspekt des Kindeswohls (Art. 3 Abs. 1 KRK) sind sämtliche Umstände zu würdigen, die im Hinblick auf den Vollzug einer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(vgl. BVGE 2014/20 E. 8.3.6 und 2009/51 E. 5.6, je m.w.H.). Gerade die Dauer des Aufenthalts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(vgl. BVGE 2009/51 E. 5.6 und 2009/28 E. 9.3.2). Die Kinder der Beschwerdeführerin sind (...) Jahre alt und befinden sich seit mittlerweile circa zweieinhalb Jahren in der Schweiz. Vor diesem Hintergrund dürften diese in der Schweiz bereits gewisse soziale Bindungen ausserhalb der Kernfamilie aufgebaut haben. Angesichts ihres vergleichsweise kurzen Aufenthalts hierzulande ist jedoch nicht davon auszugehen, dass sie sich der schweizerischen Kultur und Lebensart bereits derart angepasst hätten, dass es - im Sinne einer reziproken Wirkung - zu einer Entwurzelung im Heimatstaat gekommen wäre. Selbst wenn ihre Wiedereingliederung in der Türkei mit gewissen Reintegrationsschwierigkeiten verbunden sein dürfte, sind diese nicht als derart gravierend zu erachten, als dass diese dem Vollzug der Wegweisung entgegenstehen würden. Es ist davon auszugehen, dass eine Eingliederung in das dortige Schulsystem und das gesamte Umfeld gelingen wird, zumal die Kinder in der Türkei aufgewachsen sind, die Sprache sprechen und mit ihrer Mutter dorthin zurückkehren werden. Mit dem Schwiegervater respektive Grossvater väterlicherseits, verfügen die Beschwerdeführenden in der Türkei über ein gefestigtes Beziehungsnetz. Der Zugang zu psychiatrischer Behandlung ist sodann wie bereits ausgeführt auch in der Türkei gewährleistet. Somit ist aufgrund der gegebenen Umstände nicht davon auszugehen, dass die Entwicklung der Kinder langfristig gefährdet ist. Eine Rückkehr in die Türkei ist demnach mit dem Kindeswohl vereinbar.</w:t>
      </w:r>
    </w:p>
    <w:p>
      <w:r>
        <w:rPr>
          <w:b/>
        </w:rPr>
        <w:t>E. 8.3.3</w:t>
      </w:r>
    </w:p>
    <w:p>
      <w:r>
        <w:t>Nach dem Gesagten erweist sich der Wegweisungsvollzug als zumutbar.</w:t>
      </w:r>
    </w:p>
    <w:p>
      <w:r>
        <w:rPr>
          <w:b/>
        </w:rPr>
        <w:t>E. 8.4</w:t>
      </w:r>
    </w:p>
    <w:p>
      <w:r>
        <w:t>Schliesslich obliegt es den Beschwerdeführenden,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2'000.- (Art. 1-3 des Reglements vom 21. Februar 2008 über die Kosten und Entschädigungen vor dem Bundesverwaltungsgericht [VGKE, SR 173.320.2]) den Beschwerdeführenden aufzuerlegen (Art. 63 Abs. 1 und 5 VwVG), wobei der am 17. März 2026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