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E-126/2026 vom 22. Dezember 2025</w:t>
      </w:r>
    </w:p>
    <w:p>
      <w:r>
        <w:t>Bundesverwaltungsgericht, 2025-12-22, DE</w:t>
      </w:r>
    </w:p>
    <w:p>
      <w:r>
        <w:rPr>
          <w:b/>
        </w:rPr>
        <w:t xml:space="preserve">Quelle: </w:t>
      </w:r>
      <w:r>
        <w:t>https://mcp.opencaselaw.ch/entscheid/bvger_E-126_2026_d20251222</w:t>
      </w:r>
    </w:p>
    <w:p>
      <w:r>
        <w:t>FR: TAF E-126/2026 du 22 décembre 2025</w:t>
      </w:r>
    </w:p>
    <w:p>
      <w:r>
        <w:t>IT: TAF E-126/2026 del 22 dicembre 2025</w:t>
      </w:r>
    </w:p>
    <w:p>
      <w:pPr>
        <w:pStyle w:val="Heading2"/>
      </w:pPr>
      <w:r>
        <w:t>Regeste</w:t>
      </w:r>
    </w:p>
    <w:p>
      <w:r>
        <w:t>Asyl und Wegweisung (beschleunigtes Verfahren) | Asyl und Wegweisung (beschleunigtes Verfahren); Verfügung des SEM vom 22. Dezember 2025</w:t>
      </w:r>
    </w:p>
    <w:p>
      <w:pPr>
        <w:pStyle w:val="Heading2"/>
      </w:pPr>
      <w:r>
        <w:t>Erwägungen</w:t>
      </w:r>
    </w:p>
    <w:p>
      <w:r>
        <w:rPr>
          <w:b/>
        </w:rPr>
        <w:t>E. 17</w:t>
      </w:r>
    </w:p>
    <w:p>
      <w:r>
        <w:t>April 2024 E. 8.1),</w:t>
      </w:r>
    </w:p>
    <w:p>
      <w:r>
        <w:t>E-126/2026 Seite 6 dass der Beschwerdeführer gemäss eigenen Aussagen nie versuchte, staatlichen Schutz in Anspruch zu nehmen und seine pauschalen Ausfüh- rungen in der Beschwerdeschrift zur mangelnden Schutzfähigkeit nicht zu überzeugen vermögen, dass dem Beschwerdeführer zuzumuten ist, im Bedarfsfall den Schutz sei- nes Heimatstaates vor nichtstaatlicher Verfolgung auszuschöpfen,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vorliegend als zulässig er- weist (Art. 83 Abs. 3 AIG), da nach den vorstehenden Erwägungen keine Hinweise auf eine flüchtlingsrechtlich relevante Verfolgung bestehen (Art. 5 Abs. 1 AsylG; Art. 33 Abs. 1 FK [SR 0.142.30]) und auch keine kon- kreten Anhaltspunkte für eine in der Heimat drohende menschenrechtswid- 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E-126/2026 Seite 7 dass weder die allgemeine Lage im Heimat- beziehungsweise Herkunfts- staat des Beschwerdeführers noch individuelle Gründe auf eine konkrete Gefährdung im Falle einer Rückkehr schliessen lassen, dass der Beschwerdeführer über ein ausgeprägtes familiäres und soziales Netzwerk in Algerien verfügt, auf das er bereits vor seiner Ausreise zurück- greifen konnte und er eine fundierte Ausbildung sowie Berufserfahrung vor- weisen kann, dass seine Ausführungen in der Beschwerdeschrift, wonach seine Familie sich von ihm abgewendet habe, zu relativieren sind, da er offenbar noch immer Kontakt mit ihr hat und er neben seiner Familie zudem auf sein so- ziales Netzwerk zurückgreifen kann, dass er in gesundheitlicher Hinsicht ein Augenleiden vortrug, jedoch hierzu, trotz Ankündigung, keine medizinischen Unterlagen einreichte, dass der Beschwerdeführer weiter geltend machte, aufgrund von Medika- mentenmissbrauchs drogenabhängig zu sein, dass dies, wie bereits zutreffend von der Vorinstanz erläutert, kein Weg- weisungsvollzugshindernis darstellt und es ihm zuzumuten ist, in seiner Heimat eine entsprechende Behandlung in Anspruch zu nehmen, dass die Vorinstanz richtigerweise in antizipierender Beweiswürdigung auf weitere Abklärungen zu den medizinischen Vorbringen verzichtete, da sie nicht geeignet wären, den Ausgang des Verfahrens zu ändern, dass sich der Vollzug der Wegweisung somit in allgemeiner, wie auch in individueller Hinsicht als zumutbar erweist, dass es dem Beschwerdeführer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E-126/2026 Seite 8 dass sich aus den vorstehenden Erwägungen ergibt, dass die Begehren als aussichtslos zu erachten sind und damit eine der kumulativ zu erfüllen- den Voraussetzungen für die beantragte Gewährung der unentgeltlichen Rechtspflege nicht gegeben ist, weshalb das entsprechende Gesuch – un- geachtet einer allfälligen Mittellosigkeit – abzuweisen ist, dass bei diesem Ausgang des Verfahrens dem Beschwerdeführer die Kos- ten – welche praxisgemäss auf Fr. 1’000.– zu bestimmen sind – aufzuerle- gen sind (Art. 63 Abs. 1 VwVG; Art. 1–3 des Reglements vom 21. Februar 2008 über die Kosten und Entschädigungen vor dem Bundesverwaltungs- gericht [VGKE, SR 173.320.2]).</w:t>
      </w:r>
    </w:p>
    <w:p>
      <w:r>
        <w:t>(Dispositiv nächste Seite)</w:t>
      </w:r>
    </w:p>
    <w:p>
      <w:r>
        <w:t>E-126/2026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