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E-1263/2016 vom 21. August 2018</w:t>
      </w:r>
    </w:p>
    <w:p>
      <w:r>
        <w:t>Bundesverwaltungsgericht, 2018-08-21, DE</w:t>
      </w:r>
    </w:p>
    <w:p>
      <w:r>
        <w:rPr>
          <w:b/>
        </w:rPr>
        <w:t xml:space="preserve">Quelle: </w:t>
      </w:r>
      <w:r>
        <w:t>https://mcp.opencaselaw.ch/entscheid/bvger_E-1263_2016</w:t>
      </w:r>
    </w:p>
    <w:p>
      <w:r>
        <w:t>FR: TAF E-1263/2016 du 21 août 2018</w:t>
      </w:r>
    </w:p>
    <w:p>
      <w:r>
        <w:t>IT: TAF E-1263/2016 del 21 agosto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wird (vgl. BVGE 2014/26 E. 5).</w:t>
      </w:r>
    </w:p>
    <w:p>
      <w:r>
        <w:rPr>
          <w:b/>
        </w:rPr>
        <w:t>E. 3</w:t>
      </w:r>
    </w:p>
    <w:p>
      <w:r>
        <w:t>Die Verfügung des SEM vom 25. Januar 2016 ist, soweit sie die Flücht-lingseigenschaft und die Ablehnung des Asylgesuchs betrifft (Dispositivziffern 1 und 2 der angefochtenen Verfügung), in Rechtskraft erwachsen. Auch ist die Anordnung der Wegweisung als solche (Dispositivziffer 3) grundsätzlich nicht mehr zu überprüfen (vgl. Entscheidungen und Mittei-lungen der Schweizerischen Asylrekurskommission [EMARK] 2001 Nr. 21). Gegenstand des Beschwerdeverfahrens bildet somit lediglich die Frage, ob die Wegweisung zu vollziehen oder ob anstelle des Vollzugs eine vorläufige Aufnahme anzuordnen ist.</w:t>
      </w:r>
    </w:p>
    <w:p>
      <w:r>
        <w:rPr>
          <w:b/>
        </w:rPr>
        <w:t>E. 4.1</w:t>
      </w:r>
    </w:p>
    <w:p>
      <w:r>
        <w:t>Die Vorinstanz verzichtete mit der Begründung, der Beschwerdeführer habe die Asylbehörden über seine Identität getäuscht, gestützt auf Art. 36 Abs. 1 Bst. a AsylG auf eine Anhörung zu den Asylgründen im Sinne von Art. 29 AsylG. Es stellt sich die Frage, ob dieses Vorgehen mit dem Gesetz und der Praxis des Bundesverwaltungsgerichts sowie seiner Vorgängerorganisation, der Schweizerischen Asylrekurskommission (ARK), in Einklang steht, was auf Beschwerdeebene - zumindest sinngemäss - in Frage gestellt wird.</w:t>
      </w:r>
    </w:p>
    <w:p>
      <w:r>
        <w:rPr>
          <w:b/>
        </w:rPr>
        <w:t>E. 4.2</w:t>
      </w:r>
    </w:p>
    <w:p>
      <w:r>
        <w:t>Seit dem 1. Februar 2014 ist eine revidierte, vorliegend anwendbare Fassung des Asylgesetzes (Änderung vom 14. Dezember 2012) in Kraft. Diese sieht bei feststehender Identitätstäuschung seitens der asylsuchenden Person kein Nichteintreten mehr vor (vgl. aArt. 32 Abs. 2 Bst. b AsylG), erlaubt es der Vorinstanz in einem solchen Fall aber, auf eine Anhörung im Sinne von Art. 29 AsylG zu verzichten (vgl. Art. 36 Abs. 1 Bst. a AsylG). Für die Auslegung des Begriffs der "feststehenden Identitätstäuschung" nach Art. 36 Abs. 1 Bst. a AsylG ist auf die Praxis zum entsprechenden, aufgehobenen Nichteintretensgrund gemäss aArt. 32 Abs. 2 Bst. b AsylG zu verweisen (vgl. Schweizerische Flüchtlingshilfe [SFH; Hrsg.], Handbuch zum Asyl- und Wegweisungsverfahren, 2. Aufl. 2015, S. 88; Florence Rouiller, in: Code annoté de droit des migrations, Volume IV: Loi sur l'asile [LAsi], 2015, Art. 36 N. 20-24, S. 307 ff.). Gemäss dieser Praxis ist der Nachweis der Identitätstäuschung von den schweizerischen Asylbehörden zu erbringen (vgl. EMARK 2003 Nr. 27 E. 4a). Die gesetzliche Regelung sieht neben der erkennungsdienstlichen Behandlung (Daktyloanalyse) auch "andere Beweismittel" vor, aufgrund derer die Identitätstäuschung feststehen kann (vgl. Art. 36 Abs. 1 Bst. a AsylG; identisch formuliert waren die Voraussetzungen gemäss aArt. 32 Abs. 2 Bst. b AsylG); als "andere Beweismittel" kommen unter anderem namentlich die Erkenntnisse im Rahmen einer Lingua-Analyse in Frage (vgl. EMARK 1999 Nr. 19). Der Begriff der Identität ist in Art. 1a Bst. a der Asylverordnung 1 vom 11. August 1999 (AsylV 1, SR 142.311) geregelt und schliesst den Namen und den Vornamen, die Staatsangehörigkeit, die Ethnie, das Geburtsdatum, den Geburtsort und das Geschlecht einer asylsuchenden Person ein. Diese Aufzählung der Begriffsmerkmale der Identität ist abschliessend und umfasst weder den Herkunftsort, noch den Ort der Sozialisation einer betroffenen Person (vgl. EMARK 2001 Nr. 27 E. 5e; vgl. auch EMARK 2004 Nr. 4; vgl. zum Ganzen BVGE 2013/10 E. 9.1).</w:t>
      </w:r>
    </w:p>
    <w:p>
      <w:r>
        <w:rPr>
          <w:b/>
        </w:rPr>
        <w:t>E. 4.3</w:t>
      </w:r>
    </w:p>
    <w:p>
      <w:r>
        <w:t>Der Beschwerdeführer sagte bei der BzP aus, er kenne sein Geburtsdatum nicht, er sei gemäss den Angaben seiner Mutter (...) Jahre und (...) Monate alt. Damit machte er ein Geburtsdatum von ungefähr (...) geltend. Zudem sei sein Alter im Koran gestanden. Im Personalienbogen, den Kollegen für ihn ausgefüllt hätten, weil er Analphabet sei (...), ist als Geburtsdatum der (...) vermerkt. Aufgrund des Ergebnisses der Handknochenanalyse steht fest, dass die Abweichung zwischen dem Knochenalter und dem angegebenen Alter respektive Geburtsdatum mehr als drei Jahre beträgt. Somit ist der Nachweis erbracht, dass der Beschwerdeführer über sein Alter und auch über sein Geburtsdatum zu täuschen versucht hat (vgl. dazu EMARK 2004 Nr. 30 E. 6.2, 2001 Nr. 23 E. 4.b, 2000 Nr. 19 E. 7 und 8; Urteil des Bundesverwaltungsgerichts D-5785/2015 vom 10. März 2016 E. 3.3.1 m.w.H.). Die Vorinstanz ist folglich zu Recht von einer Identitätstäuschung ausgegangen und hat gestützt auf Art. 36 Abs. 1 Bst. a AsylG auf eine Anhörung zu den Asylgründen im Sinne von Art. 29 AsylG verzichtet. Der Beschwerdeführer hat seine behauptete Minderjährigkeit nicht glaubhaft machen können, weshalb er zu Recht für das weitere Verfahren als volljährige Person behandelt wurde.</w:t>
      </w:r>
    </w:p>
    <w:p>
      <w:r>
        <w:rPr>
          <w:b/>
        </w:rPr>
        <w:t>E. 5.1</w:t>
      </w:r>
    </w:p>
    <w:p>
      <w:r>
        <w:t>Lehnt das Staatssekretariat das Asylgesuch ab oder tritt es darauf nicht ein, so verfügt es in der Regel die Wegweisung aus der Schweiz und ordnet den Vollzug an (Art. 44 AsylG).</w:t>
      </w:r>
    </w:p>
    <w:p>
      <w:r>
        <w:rPr>
          <w:b/>
        </w:rPr>
        <w:t>E. 5.2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von Ausländerinnen und Ausländern (Art. 44 AsylG; Art. 83 Abs. 1 AuG [SR 142.20]). Der Beschwerdeführer bringt vor, Hazara zu sein und sich vor seiner Weiterreise nach Pakistan (H._______) zusammen mit seiner Mutter und (...) im Alter von etwa (...) Jahren rund (...) Jahre lang im Distrikt D._______ in der Provinz Ghazni, Afghanistan, aufgehalten zu haben. Im als Referenzurteil publizierten Entscheid D-5800/2016 vom 13. Oktober 2017 kommt das Bundesverwaltungsgericht in Bestätigung seiner bisherigen Rechtsprechung in BVGE 2011/7 zum Schluss, dass der Wegweisungsvollzug in diese Region auch heute noch unzumutbar ist (vgl. E. 7, insb. 7.6). Gleich verhält es sich mit der Provinz Uruzgan, wo der Beschwerdeführer geboren sei und bis zu seinem (...) Lebensjahr gelebt habe. Das SEM glaubt dem Beschwerdeführer jedoch nicht, dass er vor seiner Ausreise aus Afghanistan in der Provinz Ghazni gelebt hat; vielmehr geht es davon aus, dass er die Asylbehörden - in Verletzung seiner Mitwirkungspflicht - über seine Herkunft zu täuschen versucht habe. Es sei nicht Aufgabe des SEM, nach allfälligen Wegweisungshindernissen an seinem tatsächlichen, von ihm nicht offengelegten Herkunftsort zu forschen.</w:t>
      </w:r>
    </w:p>
    <w:p>
      <w:r>
        <w:rPr>
          <w:b/>
        </w:rPr>
        <w:t>E. 6.2.1</w:t>
      </w:r>
    </w:p>
    <w:p>
      <w:r>
        <w:t>Im Asylverfahren - wie auch im übrigen Verwaltungsverfahren - gilt der Untersuchungsgrundsatz (Art. 12 VwVG i.V.m. Art. 6 AsylG). Dieser besagt, dass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Dabei beschränken sich die behördlichen Ermittlungen nicht nur auf jene Umstände, welche die Betroffenen belasten, sondern haben auch die sie entlastenden Momente zu erfassen. Die Behörde hat alle für den Entscheid 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wesentlichen Gesichtspunkte des Sachverhalts geprüft werden, oder weil Beweise falsch gewürdigt wurden. Unvollständig ist die Sachverhaltsfeststellung demgegenüber, wenn nicht alle für den Entscheid rechtsrelevanten Sachumstände berücksichtigt wurden (vgl. BVGE 2012/21 E. 5.1; Patrick L. Krauskopf/Katrin Emmenegger, in: Praxiskommentar zum Bundesgesetz über das Verwaltungsverfahren, Waldmann/Weissberger (Hrsg.) 2009, Art. 12 VwVG N 19 ff. und N 42, Alfred Kölz/Isabelle Häner/Martin Bertschi, Verwaltungsverfahren und Verwaltungsrechtspflege des Bundes, 3. Aufl., Zürich 2013, Rz. 1043 ff.). 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BVGE 2008/24 E. 7.2; BVGE 2007/21 E. 11.1).</w:t>
      </w:r>
    </w:p>
    <w:p>
      <w:r>
        <w:rPr>
          <w:b/>
        </w:rPr>
        <w:t>E. 6.2.2</w:t>
      </w:r>
    </w:p>
    <w:p>
      <w:r>
        <w:t>Bei Zweifeln an der Herkunft asylsuchender Personen führt die Vor-instanz in der Regel eine unabhängige Herkunftsanalyse (Lingua-Analyse) durch. Dabei werden neben den landeskundlich-kulturellen Kenntnissen üblicherweise auch die sprachlichen Fähigkeiten der asylsuchenden Person geprüft. Diese Analysen werden ausschliesslich von amtsexternen, von der Fachstelle LINGUA der Vorinstanz beauftragten Sachverständigen mit den entsprechenden Sprach- und Länderkenntnissen durchgeführt (vgl. EMARK 1998 Nr. 34 E. 4b). Gemäss Rechtsprechung sind LINGUA-Analysen nicht Sachverständigengutachten im Sinne von Art. 12 Bst. e VwVG (vgl. hierzu Art. 57 - 61 BZP [SR 273] i.V.m. Art. 19 VwVG), sondern lediglich schriftliche Auskünfte von Drittpersonen im Sinne von Art. 12 Bst. c VwVG. Sie unterliegen grundsätzlich der freien Beweiswürdigung und binden die urteilende Behörde nicht. Bei Einhaltung bestimmter Minimalanforderungen an die fachliche Qualifikation, Objektivität und Neutralität der sachverständigen Person, wie auch an die inhaltliche Schlüssigkeit und Nachvollziehbarkeit der Untersuchung, kann den LINGUA-Analysen im Vergleich zu gewöhnlichen Parteivorbringen im Einzelfall durchaus erhöhter Beweiswert zugemessen werden (vgl. EMARK 1998 Nr. 34 E. 3-8, insb. E. 8g; vgl. ferner EMARK 2003 Nr. 14 E. 7; seither ständige Praxis des Bundesverwaltungsgerichts, vgl. beispielsweise BVGE 2014/12 E. 4.2.1 sowie Urteil des BVGer E-163/2012 vom 7. August 2012 E. 6.1.1). Die Rechtsprechung definierte ferner Mindeststandards, denen die Gewährung des rechtlichen Gehörs und der Akteneinsicht betreffend LINGUA-Analysen zu genügen hat (vgl. Urteil des BVGer E-3361/2014 vom 6. Mai 2015 E. 5.1).</w:t>
      </w:r>
    </w:p>
    <w:p>
      <w:r>
        <w:rPr>
          <w:b/>
        </w:rPr>
        <w:t>E. 6.2.3</w:t>
      </w:r>
    </w:p>
    <w:p>
      <w:r>
        <w:t>Die vom SEM für seine Zweifel an der geltend gemachten Herkunft des Beschwerdeführers angeführten Argumente vermögen nicht vollumfänglich zu überzeugen. Insbesondere ist vorab festzustellen, dass es zwar einerseits eine Verletzung der Mitwirkungspflicht durch den Beschwerdeführer festgestellt hat, daraus aber nicht etwa auf eine unbekannte Herkunft geschlossen, sondern die afghanische Staatsangehörigkeit des Beschwerdeführers und auch die Echtheit der zu den Akten gereichten Tazkira seines Vaters gerade nicht in Zweifel gezogen hat. Hinzu kommt, dass der Beschwerdeführer aussagte, er sei im Alter von (...) Jahren zusammen mit seiner Mutter und (...) nach Ghazni gezogen und im Alter von (...) Jahren mit ihnen nach H._______ (Pakistan) gegangen. Bei dieser behaupteten Sachlage würde es nicht erstaunen, dass er sich nicht an vieles in Afghanistan erinnern könnte. Vor diesem Hintergrund erscheinen die von der Vorinstanz aufgezeigten Unstimmigkeiten bei den Herkunftsangaben des Beschwerdeführers nicht in einem Masse ausschlaggebend, um alle seine Angaben als unglaubhaft qualifizieren zu können, zumal das SEM eben, wie erwähnt, die Herkunft des Beschwerdeführers aus Afghanistan nicht bestreitet.</w:t>
      </w:r>
    </w:p>
    <w:p>
      <w:r>
        <w:rPr>
          <w:b/>
        </w:rPr>
        <w:t>E. 6.2.4</w:t>
      </w:r>
    </w:p>
    <w:p>
      <w:r>
        <w:t>Aufgrund der teilweise in der Tat unstimmigen Herkunftsangaben des Beschwerdeführers lässt sich allerdings ebenso wenig mit Gewissheit feststellen, dass er in der Provinz Uruzgan geboren und ab seinem (...). Altersjahr in der Provinz Ghazni sesshaft gewesen ist. Unter diesen Umständen ist es aufgrund der Untersuchungspflicht der Asylbehörden Sache des SEM, die Herkunft des Beschwerdeführers mit geeigneten Mitteln weiter abzuklären. Aufgrund der Angaben des Beschwerdeführers erscheint nicht ausgeschlossen, dass eine Lingua-Analyse Aufschluss darüber geben kann, ob er tatsächlich bis zum Alter von (...) Jahren in Afghanistan oder aber in einem anderen Staat sozialisiert wurde. Als anderer Staat käme insbesondere Pakistan in Frage, wo sich der Beschwerdeführer nach seiner Ausreise aus Afghanistan für längere Zeit zusammen mit seiner nach wie vor in H._______ lebenden Mutter und (...) aufgehalten und auch gearbeitet habe. Sollte sich herausstellen, dass er tatsächlich in Afghanistan hauptsozialisiert wurde, wäre nach erneuter einlässlicher Befragung des Beschwerdeführers und unter Beizug einschlägiger länderspezifischer Informationen gegebenenfalls noch abzuklären, ob es plausibel erscheint, dass er in Pakistan tatsächlich nicht aufenthaltsberechtigt ist und nicht dorthin zurückkehren kann (vgl. Art. 31a Abs. 1 Bst. c AsylG).</w:t>
      </w:r>
    </w:p>
    <w:p>
      <w:r>
        <w:rPr>
          <w:b/>
        </w:rPr>
        <w:t>E. 7.1</w:t>
      </w:r>
    </w:p>
    <w:p>
      <w:r>
        <w:t>Gemäss Art. 61 Abs. 1 VwVG entscheidet das Bundesverwaltungsgericht in der Sache selbst oder weist diese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Wie in E. 6 ausgeführt, ist es im vorliegenden Fall angezeigt, die Herkunft des Beschwerdeführers mit geeigneten Mitteln, namentlich mittels Lingua-Analyse, weiter abzuklären. Da sich diese Abklärungen voraussichtlich nicht mit geringem Aufwand durchführen lassen, erscheint eine Aufhebung der angefochtenen Verfügung und eine Rückweisung der Sache an die Vorinstanz gerechtfertigt.</w:t>
      </w:r>
    </w:p>
    <w:p>
      <w:r>
        <w:rPr>
          <w:b/>
        </w:rPr>
        <w:t>E. 8</w:t>
      </w:r>
    </w:p>
    <w:p>
      <w:r>
        <w:t>Die Beschwerde ist somit im Sinne der Erwägungen gutzuheissen. Die Dispositivziffern 4 und 5 der Verfügung vom 25. Januar 2016 sind aufzuheben. Die Sache ist zur vollständigen und richtigen Sachverhaltsabklärung an das SEM zurückzuweisen mit der Anweisung, über den Wegweisungsvollzug neu zu entscheiden. Auf das im Beschwerdeverfahren in reformatorischer Hinsicht gestellte Begehren und dessen Begründung ist bei diesem Verfahrensausgang nicht weiter einzugehen.</w:t>
      </w:r>
    </w:p>
    <w:p>
      <w:r>
        <w:rPr>
          <w:b/>
        </w:rPr>
        <w:t>E. 9.1</w:t>
      </w:r>
    </w:p>
    <w:p>
      <w:r>
        <w:t>Bei diesem Ausgang des Verfahrens sind keine Kosten zu erheben (Art. 63 Abs. 1 VwVG). Der mit Zwischenverfügung vom 24. März 2016 gutgeheissene Antrag auf Gewährung der unentgeltlichen Prozessführung im Sinne von Art. 65 Abs. 1 VwVG wird somit gegenstandslos.</w:t>
      </w:r>
    </w:p>
    <w:p>
      <w:r>
        <w:rPr>
          <w:b/>
        </w:rPr>
        <w:t>E. 9.2</w:t>
      </w:r>
    </w:p>
    <w:p>
      <w:r>
        <w:t>Dem amtlich verbeiständeten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Somit wird auch der mit Zwischenverfügung vom 24. März 2016 gutgeheissene Antrag auf Bestellung des Rechtsvertreters als amtlicher Rechtsbeistand im Sinne von Art. 110a Abs. 1 AsylG hinfällig. Der in der Honorarrechnung vom 29. Februar 2016 geltend gemachte zeitlichen Aufwand von (...) Stunden erscheint nicht angemessen und ist auf (...) Stunden zu kürzen. Dem Beschwerdeführer ist zulasten der Vorinstanz eine Parteientschädigung von insgesamt Fr. (...) inklusive Auslagen zuzusprechen. Da der Rechtsvertreter nicht mehrwertsteuerpflichtig ist, umfasst die Parteientschädigung keinen Mehrwertsteuerzuschlag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