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E-1259/2017 vom 3. Juli 2019</w:t>
      </w:r>
    </w:p>
    <w:p>
      <w:r>
        <w:t>Bundesverwaltungsgericht, 2019-07-03, FR</w:t>
      </w:r>
    </w:p>
    <w:p>
      <w:r>
        <w:rPr>
          <w:b/>
        </w:rPr>
        <w:t xml:space="preserve">Quelle: </w:t>
      </w:r>
      <w:r>
        <w:t>https://mcp.opencaselaw.ch/entscheid/bvger_E-1259_2017</w:t>
      </w:r>
    </w:p>
    <w:p>
      <w:r>
        <w:t>FR: TAF E-1259/2017 du 3 juillet 2019</w:t>
      </w:r>
    </w:p>
    <w:p>
      <w:r>
        <w:t>IT: TAF E-1259/2017 del 3 luglio 2019</w:t>
      </w:r>
    </w:p>
    <w:p>
      <w:pPr>
        <w:pStyle w:val="Heading2"/>
      </w:pPr>
      <w:r>
        <w:t>Regeste</w:t>
      </w:r>
    </w:p>
    <w:p>
      <w:r>
        <w:t>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plein pouvoir en ce qui a trait à l'application de la loi sur les étrangers, conformément à l'art. 49 PA en lien avec l'art. 112 LEI (cf. ATAF 2014/26 consid. 5 et 7.8).</w:t>
      </w:r>
    </w:p>
    <w:p>
      <w:r>
        <w:rPr>
          <w:b/>
        </w:rPr>
        <w:t>E. 2</w:t>
      </w:r>
    </w:p>
    <w:p>
      <w:r>
        <w:t>A titre préliminaire, il convient de constater qu'il ressort implicitement de la motivation de la décision attaquée quant à la licéité et à l'exigibilité de l'exécution du renvoi du recourant que le SEM a estimé que l'obligation de servir n'était pas en elle-même décisive sous l'angle ni de l'art. 3 CEDH ni d'autres normes de droit international ni même sous l'angle de l'art. 83 al. 4 EI. Le recourant a fait grief au SEM d'avoir violé les art. 3 et 4 CEDH ainsi que l'art. 83 al. 3 et 4 LEI. A raison, il n'a pas invoqué de grief formel de violation par le SEM de l'obligation de motiver sa décision, composante du droit d'être entendu, dès lors que la motivation de la décision attaquée était, malgré son caractère implicite, suffisamment claire pour que le recourant, représenté par un mandataire professionnel, puisse recourir en connaissance de cause.</w:t>
      </w:r>
    </w:p>
    <w:p>
      <w:r>
        <w:rPr>
          <w:b/>
        </w:rPr>
        <w:t>E. 2.1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2.2</w:t>
      </w:r>
    </w:p>
    <w:p>
      <w:r>
        <w:t>Il s'agit d'examiner si c'est à juste titre que le SEM a estimé que l'exécution du renvoi du recourant était licite (consid. 4), raisonnablement exigible (consid. 5) et possible (consid. 6).</w:t>
      </w:r>
    </w:p>
    <w:p>
      <w:r>
        <w:rPr>
          <w:b/>
        </w:rPr>
        <w:t>E. 3.1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[CR, RS 0.142.30]), et ensuite de l'étranger pouvant démontrer qu'il serait exposé à un traitement prohibé par l'art. 3 de la Convention du 4 novembre 1950 de sauvegarde des droits de l'homme et des libertés fondamentales (CEDH, RS 0.101).</w:t>
      </w:r>
    </w:p>
    <w:p>
      <w:r>
        <w:rPr>
          <w:b/>
        </w:rPr>
        <w:t>E. 3.2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3.3.1</w:t>
      </w:r>
    </w:p>
    <w:p>
      <w:r>
        <w:t>Le Tribunal s'est prononcé sur la licéité de l'exécution du renvoi en Erythrée des personnes astreintes au service militaire (arrêt de principe du 10 juillet 2018 publié dans le recueil officiel ATAF 2018 VI/4).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Il en ressort pour l'essentiel ce qui suit.</w:t>
      </w:r>
    </w:p>
    <w:p>
      <w:r>
        <w:rPr>
          <w:b/>
        </w:rPr>
        <w:t>E. 3.3.1.1</w:t>
      </w:r>
    </w:p>
    <w:p>
      <w:r>
        <w:t>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3.3.1.2</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ou libérées du service militaire (consid. 5.1.3, 5.3).</w:t>
      </w:r>
    </w:p>
    <w:p>
      <w:r>
        <w:rPr>
          <w:b/>
        </w:rPr>
        <w:t>E. 3.3.1.3</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assimilables à des mauvais traitements. Des abus sexuels sont également signalés. Mais il arrive également que des soldats soient affectés à des tâches civiles, auquel cas la discipline et les sanctions s'avèrent notablement moins dures.</w:t>
      </w:r>
    </w:p>
    <w:p>
      <w:r>
        <w:rPr>
          <w:b/>
        </w:rPr>
        <w:t>E. 3.3.1.4</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3.3.1.5</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atteinte. Ce n'est qu'alors que la responsabilité directe de la Suisse est engagée à cause du tort causé dans un autre pays (consid. 6.1.2).</w:t>
      </w:r>
    </w:p>
    <w:p>
      <w:r>
        <w:rPr>
          <w:b/>
        </w:rPr>
        <w:t>E. 3.3.1.6</w:t>
      </w:r>
    </w:p>
    <w:p>
      <w:r>
        <w:t>S'agissant des conditions de vie dans le service national et de sa durée, le Tribunal arrive à la conclusion qu'elles ne sont pas assimilables à de l'esclavage ou de la servitude et ne violent donc pas l'art. 4 par. 1 CEDH (consid. 6.1.4).</w:t>
      </w:r>
    </w:p>
    <w:p>
      <w:r>
        <w:rPr>
          <w:b/>
        </w:rPr>
        <w:t>E. 3.3.1.7</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3.3.1.8</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3.3.1.9</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3.3.1.10</w:t>
      </w:r>
    </w:p>
    <w:p>
      <w:r>
        <w:t>Dans ces conditions, en l'absence de circonstances particulières propres au cas d'espèce, on ne saurait admettre l'illicéité de l'exécution du renvoi, à tout le moins sur une base dite volontaire, d'un ressortissant érythréen astreint au service national. En effet, en l'absence d'un accord de réadmission avec l'Erythrée, le Tribunal a laissé indécise la question de savoir si l'exécution du renvoi accompagné de mesures de contrainte - actuellement impossible - était licite ou non (consid. 6.1.7).</w:t>
      </w:r>
    </w:p>
    <w:p>
      <w:r>
        <w:rPr>
          <w:b/>
        </w:rPr>
        <w:t>E. 3.3.2</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req. no 41282/16, par. 70 ; décision d'irrecevabilité du 21 novembre 2017 en l'affaire H.I. c. Suisse, req. no 69720/16 par. 25).</w:t>
      </w:r>
    </w:p>
    <w:p>
      <w:r>
        <w:rPr>
          <w:b/>
        </w:rPr>
        <w:t>E. 3.4</w:t>
      </w:r>
    </w:p>
    <w:p>
      <w:r>
        <w:t>En l'espèce, comme le SEM l'a constaté dans sa décision de refus d'asile du 12 août 2016 entrée en force de chose jugée, le recourant n'a pas allégué qu'il était un déserteur, ni que son départ coïncidait avec une violation de ses obligations dans le cadre du service national. Il a simplement anticipé la possibilité future d'être pris dans une rafle et d'être contraint d'accomplir le service militaire. Il n'y a donc pas d'indices concrets et sérieux qui permettraient d'admettre un risque réel, pour lui, de subir une peine d'emprisonnement pour violation d'une obligation militaire à son retour. La sortie illégale alléguée d'Erythrée (indépendamment de la question de sa vraisemblance, laquelle peut demeurer indécise) ne justifie pas en soi d'admettre un risque réel de subir une peine d'emprisonnement à son retour et, dans ce contexte, un traitement contraire à l'art. 3 CEDH. Enfin, s'agissant du risque (futur)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3.5</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6).</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4.3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(cf.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4.4</w:t>
      </w:r>
    </w:p>
    <w:p>
      <w:r>
        <w:t>Dans l'ATAF 2018 VI/4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4.5</w:t>
      </w:r>
    </w:p>
    <w:p>
      <w:r>
        <w:t>En l'espèce, le recourant est un jeune homme ayant passé la majeure partie de sa vie en Erythrée, où séjournent en particulier ses parents sur lesquels il est censé pouvoir compter à son retour. Il ne ressort pas du dossier qu'il y ait des éléments assimilables à des circonstances personnelles particulières dont on pourrait inférer que l'exécution de son renvoi impliquerait sa mise en danger concrète. S'agissant de son état de santé, force est de constater que, nonobstant l'écoulement du temps, il n'a donné aucune suite à l'invitation du 1er mars 2019 du Tribunal à produire un rapport médical actualisé. En conséquence, il n'a pas prouvé qu'il bénéficiait toujours d'un suivi psychothérapeutique pour des troubles psychiques (cf. art. 26a al. 3 LAsi). Il n'a pas non plus fait état d'autres atteintes à sa santé. Dans ces circonstances, le Tribunal est en droit d'admettre qu'il ne nécessite actuellement aucun traitement médical susceptible d'empêcher une dégradation très rapide de son état de santé au point de conduire d'une manière certaine à la mise en danger concrète de sa vie ou à une atteinte sérieuse, durable, et notablement plus grave de son intégrité physique. En conclusion, le recourant n'a pas rendu vraisemblable que son retour en Erythrée était de nature à l'exposer à une mise en danger concrète pour cas de nécessité médicale, au sens de la jurisprudence (cf. ATAF 2011/50 consid. 8.3 ; voir aussi ATAF 2014/26 consid. 7.3 à 7.10).</w:t>
      </w:r>
    </w:p>
    <w:p>
      <w:r>
        <w:rPr>
          <w:b/>
        </w:rPr>
        <w:t>E. 4.6</w:t>
      </w:r>
    </w:p>
    <w:p>
      <w:r>
        <w:t>Au vu de ce qui précède, l'exécution du renvoi du recourant est raisonnablement exigible, au sens de l'art. 83 al. 4 LEI a contrario.</w:t>
      </w:r>
    </w:p>
    <w:p>
      <w:r>
        <w:rPr>
          <w:b/>
        </w:rPr>
        <w:t>E. 5</w:t>
      </w:r>
    </w:p>
    <w:p>
      <w:r>
        <w:t>Enfin, bien qu'un renvoi en Erythrée sous contrainte ne soit, d'une manière générale, pas possible (cf. consid. 4.3.1.10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6</w:t>
      </w:r>
    </w:p>
    <w:p>
      <w:r>
        <w:t>Au vu de ce qui précède, l'exécution du renvoi est conforme aux dispositions légales. Par conséquent, le recours doit être rejeté et la décision ordonnant l'exécution du renvoi être confirmée.</w:t>
      </w:r>
    </w:p>
    <w:p>
      <w:r>
        <w:rPr>
          <w:b/>
        </w:rPr>
        <w:t>E. 7</w:t>
      </w:r>
    </w:p>
    <w:p>
      <w:r>
        <w:t>Compte tenu de la jurisprudence rendue par le Tribunal postérieurement au dépôt du recours et de l'absence d'actualisation par le recourant de sa situation médicale, le recours s'avère manifestement infondé. Il est dès lors rejeté dans une procédure à juge unique, avec l'approbation d'un second juge (cf. art. 111 let. e LAsi).</w:t>
      </w:r>
    </w:p>
    <w:p>
      <w:r>
        <w:rPr>
          <w:b/>
        </w:rPr>
        <w:t>E. 8</w:t>
      </w:r>
    </w:p>
    <w:p>
      <w:r>
        <w:t>La demande du recourant de dispense du paiement des frais de procédure ayant été admise par décision incidente du 7 mars 2017 du Tribunal, il est statué sans frais.</w:t>
      </w:r>
    </w:p>
    <w:p>
      <w:r>
        <w:rPr>
          <w:b/>
        </w:rPr>
        <w:t>E. 9</w:t>
      </w:r>
    </w:p>
    <w:p>
      <w:r>
        <w:t>Au vu de l'issue du litige,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