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E-1257/2012 vom 8. Mai 2012</w:t>
      </w:r>
    </w:p>
    <w:p>
      <w:r>
        <w:t>Bundesverwaltungsgericht, 2012-05-08, FR</w:t>
      </w:r>
    </w:p>
    <w:p>
      <w:r>
        <w:rPr>
          <w:b/>
        </w:rPr>
        <w:t xml:space="preserve">Quelle: </w:t>
      </w:r>
      <w:r>
        <w:t>https://mcp.opencaselaw.ch/entscheid/bvger_E-1257_2012</w:t>
      </w:r>
    </w:p>
    <w:p>
      <w:r>
        <w:t>FR: TAF E-1257/2012 du 8 mai 2012</w:t>
      </w:r>
    </w:p>
    <w:p>
      <w:r>
        <w:t>IT: TAF E-1257/2012 del 8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E-1022/2008 du 27 mars 2012, consid. 2.2;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Yar/Geiser [éd.], Ausländerrecht, Handbücher für die Anwaltspraxis, vol. VIII, Bâle 2009, p. 567s., n° 11.148s. ; Minh Son Nguyen, Droit public des étrangers, Berne 2003, p. 507 ss; Walter Kälin, Grundriss des Asylverfahrens, Bâle/Francfort-sur-le-Main 1990, p. 302 ss).</w:t>
      </w:r>
    </w:p>
    <w:p>
      <w:r>
        <w:rPr>
          <w:b/>
        </w:rPr>
        <w:t>E. 3.1</w:t>
      </w:r>
    </w:p>
    <w:p>
      <w:r>
        <w:t>En l'occurrence, le Tribunal relève que, selon ses déclarations, l'intéressé n'aurait jamais rencontré, à titre personnel, privé ou professionnel, quelque problème que ce soit avec les autorités sri-lankaises, l'armée gouvernementale, les LTTE ou d'autres organisations. Les difficultés dont il se prévaut auraient commencé en février 2007 ou en mai 1997 selon les versions et ce, consécutivement à la visite opérée par un groupe d'individus soupçonnant ses deux anciens employés d'être en relation avec les LTTE. Il appert ainsi que la venue de ces personnes ne revêt aucun lien avec le recourant lui-même ; elle porte exclusivement sur les recherches effectuées par des tiers au sujet de ses deux anciens employés.</w:t>
      </w:r>
    </w:p>
    <w:p>
      <w:r>
        <w:rPr>
          <w:b/>
        </w:rPr>
        <w:t>E. 3.2</w:t>
      </w:r>
    </w:p>
    <w:p>
      <w:r>
        <w:t>A ce propos, le Tribunal relève que l'intéressé ne fournit aucune précision au sujet de ces individus, que ce soit lors de la première ou de la seconde visite. Son récit reste très générique : ainsi, les personnes lui ayant rendu visite auraient été vêtues d'une tenue civile et auraient, la seconde fois, porté un masque. Selon les supputations de l'intéressé, ces personnes pourraient être des membres du CID. Quant aux questions posées par ses agresseurs, elles relèvent du stéréotype alors même qu'elles émaneraient de spécialistes du renseignement. Un tel récit, par son défaut de consistance, manque de vraisemblance.</w:t>
      </w:r>
    </w:p>
    <w:p>
      <w:r>
        <w:rPr>
          <w:b/>
        </w:rPr>
        <w:t>E. 3.3</w:t>
      </w:r>
    </w:p>
    <w:p>
      <w:r>
        <w:t>Force est également de constater que le récit de l'intéressé laisse apparaître plusieurs incohérences : ainsi, lors de la seconde visite, le recourant déclare avoir eu peur lors de l'entrée de ses agresseurs dans son magasin (cf. procès-verbal du 28 janvier 2010, p. 8), alors que, lors de la même audition, il indique leur avoir parlé sans peur (cf. procès-verbal du 28 janvier 2010, p. 6). Les propos du recourant se révèlent tout aussi confus lorsqu'il évoque le départ de ses agresseurs au terme de la seconde visite : dans un premier temps, il affirme que les six individus l'auraient laissé, après l'avoir blessé avec un grand couteau, et qu'ils seraient partis (cf. procès-verbal du 28 janvier 2010, p. 6), puis il allègue un peu plus bas que ses agresseurs auraient quitté son magasin en raison de l'arrivée des voisins alertés par ses cris (cf. procès-verbal du 28 janvier 2010, p. 8).</w:t>
      </w:r>
    </w:p>
    <w:p>
      <w:r>
        <w:rPr>
          <w:b/>
        </w:rPr>
        <w:t>E. 3.4</w:t>
      </w:r>
    </w:p>
    <w:p>
      <w:r>
        <w:t>S'agissant du motif en raison duquel il n'aurait pas déposé plainte personnellement, les explications du recourant sur ce point ne s'avèrent guère plus convaincantes : alors même qu'il aurait renoncé à porter plainte auprès de la police eu égard aux liens supposés entre ses agresseurs et le gouvernement, il paraît peu vraisemblable que si un tel risque existât, ses parents dûment informés de la situation, l'eussent pris pour lui en allant déposer plainte en son nom auprès de la police. Le récit du recourant paraît, à ce titre, d'autant moins crédible que la police elle-même serait venue, de son propre chef, lui rendre visite à l'hôpital pour faire un rapport sur ces événements.</w:t>
      </w:r>
    </w:p>
    <w:p>
      <w:r>
        <w:rPr>
          <w:b/>
        </w:rPr>
        <w:t>E. 3.5</w:t>
      </w:r>
    </w:p>
    <w:p>
      <w:r>
        <w:t>Quant aux blessures dont le recourant aurait été victime, le Tribunal relève, en relation avec les pièces produites, que, s'agissant du document intitulé "diagnosis ticket", il mentionne, sous la rubrique "Name of Patient", le nom de "D._______", alors que l'intéressé s'appelle A._______ ; il en découle que la pièce produite par le recourant qui peut concerner une tierce personne, n'a aucune valeur probante. Quant à la photo représentant l'intéressé, elle ne porte ni lieu ni date et elle le présente, selon ses explications, avec un plâtre autour du bras gauche (cf. procès-verbal du 28 janvier 2010, p. 2) alors que celui-ci n'a fait jamais fait état d'une quelconque fracture de ce membre mais uniquement de blessures au couteau sur ses bras (cf. procès-verbal du 28 janvier 2010, p. 6/8). Ainsi, le Tribunal ne saurait tenir pour vraisem-blables les propos du recourant en tant qu'ils portent sur les blessures alléguées et émet de sérieuses réserves au sujet des circonstances dans lesquelles le recourant déclare les avoir subies.</w:t>
      </w:r>
    </w:p>
    <w:p>
      <w:r>
        <w:rPr>
          <w:b/>
        </w:rPr>
        <w:t>E. 3.6</w:t>
      </w:r>
    </w:p>
    <w:p>
      <w:r>
        <w:t>S'agissant des copies d'articles de presse remis à l'ODM le 28 janvier 2010, ils ne mentionnent, selon ses déclarations, nullement l'intéressé mais rapportent des problèmes s'étant présentés en son pays. Partant, lesdits extraits ne revêtent aucune pertinence dans le cas d'espèce.</w:t>
      </w:r>
    </w:p>
    <w:p>
      <w:r>
        <w:rPr>
          <w:b/>
        </w:rPr>
        <w:t>E. 3.7</w:t>
      </w:r>
    </w:p>
    <w:p>
      <w:r>
        <w:t>Quant aux autres pièces jointes par l'intéressé en annexe à son recours, le Tribunal relève qu'elles ne sont pas de nature à rendre vraisemblable le récit du recourant.</w:t>
      </w:r>
    </w:p>
    <w:p>
      <w:r>
        <w:rPr>
          <w:b/>
        </w:rPr>
        <w:t>E. 3.7.1</w:t>
      </w:r>
    </w:p>
    <w:p>
      <w:r>
        <w:t>S'agissant de la lettre de menace, le Tribunal ne saurait accorder quelque valeur probante à un document qui, par sa nature et son contenu, ressortit de l'anonymat le plus absolu.</w:t>
      </w:r>
    </w:p>
    <w:p>
      <w:r>
        <w:rPr>
          <w:b/>
        </w:rPr>
        <w:t>E. 3.7.2</w:t>
      </w:r>
    </w:p>
    <w:p>
      <w:r>
        <w:t>Quant à la lettre dont l'intéressé déclare qu'elle lui a été adressée par sa mère, ce document ne saurait être de nature à convaincre le Tribunal. En effet, il n'est en premier lieu nullement prouvé que ce texte a été rédigé par la mère de l'intéressé ; en second lieu, au regard de son contenu, il appert que ce document, constitué d'un assemblage d'éléments factuels apposés les uns à côté des autres, s'apparente moins à la lettre d'une mère à son fils qu'à un texte rédigé sur demande.</w:t>
      </w:r>
    </w:p>
    <w:p>
      <w:r>
        <w:rPr>
          <w:b/>
        </w:rPr>
        <w:t>E. 3.7.3</w:t>
      </w:r>
    </w:p>
    <w:p>
      <w:r>
        <w:t>Quant aux autres documents photographiques fournis par le recourant, à savoir les deux photographies d'un local remises à l'ODM le 28 janvier 2010 ainsi que celle annexée au recours du 5 mars 2012 au sujet de laquelle l'intéressé s'est prononcé le 28 mars 2012, le Tribunal relève les éléments suivants : en premier lieu, les trois documents précités représentent un local où se trouvent entremêlés divers objets et matériels jonchant le sol ; en deuxième lieu, lesdites photographies ne prouvent nullement qu'il s'agit du magasin du recourant ; en troisième et dernier lieu, lors de ses auditions, le recourant n'a, à aucun moment, déclaré que son magasin avait été saccagé lors de l'agression qu'il aurait subie le (...) mai 2007 et ce, aussi bien lors de sa première audition du 23 février 2009 que lors de la seconde intervenue le 28 janvier 2010 : "Ils (les agresseurs) sont entrés, ils m'ont posé quelques questions, ils m'ont frappé et ils sont partis" (cf. procès-verbal du 28 janvier 2010, p. 8). De surcroît, interrogé sur le sort de son magasin, l'intéressé a déclaré qu'il était fermé. Il apparaît ainsi peu vraisemblable que si, le soir de son agression, son magasin avait été saccagé, comme le recourant le prétend aujourd'hui, il n'ait pas fait état d'un événement aussi important lors de ses deux auditions. Ces photographies ne constituent donc pas des moyens de preuve aptes à prouver la véracité d'un événement, qui plus est, allégué pour la première fois, plus de deux ans après la dernière audition du recourant.</w:t>
      </w:r>
    </w:p>
    <w:p>
      <w:r>
        <w:rPr>
          <w:b/>
        </w:rPr>
        <w:t>E. 3.8</w:t>
      </w:r>
    </w:p>
    <w:p>
      <w:r>
        <w:t>Quant aux événements survenus dans la nuit du (...) décembre 2008, le récit du recourant n'est pas non plus vraisemblable. Il paraît d'abord peu crédible qu'au seul motif (...), le recourant ait accepté de parcourir plus d'une centaine de kilomètres pour se rendre chez sa mère alors que celle-ci, après son départ à (...), aurait reçu à plusieurs reprises la visite de ses agresseurs et qu'il encourrait de ce fait un risque pour sa propre sécurité. Ensuite, il paraît peu crédible également que ce soir-là, la mère de l'intéressé ait précisément reçu la visite des agresseurs de son fils. Peu crédibles également sont les allégations du recourant selon lesquelles il aurait réussi à fausser compagnie à trois personnes alors qu'il était emmené vers un van et, de surcroît, à ne point être touché par les balles tirées par ses agresseurs lors de sa fuite ; peu crédible le fait qu'il n'ait pas été préalablement menotté par ces personnes et ce, surtout si, comme le prétend l'intéressé, ces individus auraient été des agents du CID. Enfin, il semble tout aussi peu crédible que l'intéressé n'ait pas été poursuivi par ses agresseurs alors que ceux-ci n'auraient eu de cesse de le rechercher activement des mois durant et qu'il ait, de surcroît, en pleine nuit, pu trouver un taxi le conduisant immédiatement à Colombo. Les propos du recourant relatifs à cet événement ressortissent du stéréotype et ne sauraient en aucun cas emporter la conviction du Tribunal sur la vraisemblance de ses allégations. Dans ces conditions, on ne saurait admettre en l'espèce l'existence d'indices objectifs et concrets que ses agresseurs étaient des membres du CID et que des recherches aient donc été lancées contre lui. En particulier le fait que les agents du CID ne soient pas venus le récupérer à l'hôpital alors que la police s'y serait rendue pour lui rendre visite, et le fait que le recourant a pu passer les contrôles de police-frontière à l'aéroport de Colombo avec un passeport authentique sans y être interpellé démontreraient plutôt le contraire.</w:t>
      </w:r>
    </w:p>
    <w:p>
      <w:r>
        <w:rPr>
          <w:b/>
        </w:rPr>
        <w:t>E. 3.9</w:t>
      </w:r>
    </w:p>
    <w:p>
      <w:r>
        <w:t>En conclusion, il apparaît que le recourant n'est pas parvenu à rendre vraisemblables au sens de l'art. 7 LAsi les faits allégués à l'appui de sa demande d'asile et que les moyens de preuve produits ne sont pas d'une force probante suffisante pour contrebalancer les forts éléments d'invraisemblance relevés dans son récit. Partant, il ne peut se prévaloir d'une crainte objectivement fondée d'être exposé à de sérieux préjudices au sens de l'art. 3 LAsi en cas de retour au Sri Lanka. La décision de l'ODM est ainsi fondée, en tant qu'elle refuse de lui reconnaître la qualité de réfugié et rejette sa demande d'asile.</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recourant n'a pas rendu vraisemblables les faits allégués comme motifs de son départ du pays, en particulier sa prétendue agression par un groupe d'individus, supposés membres du CID et les circonstances dans lesquelles il a pu s'enfuir vers Colombo. Par ailleurs, comme l'a relevé l'ODM, dans sa décision, pour autant que les faits allégués soient avérés - ce qui n'est pas le cas comme on vient de le voir - les motifs allégués par le recourant ressortent d'agissements de tiers sans lien avec la responsabilité de l'Etat sri-lankais et les moyens de preuve présentés n'appuient pas la thèse du recourant selon laquelle il serait recherché ou menacé par les autorités de son pays. De surcroît, les conditions de son départ du pays ne font nullement apparaître qu'il ait quitté le Sri Lanka dans des circonstances et d'une manière propres à le rendre particulièrement suspect aux yeux des autorités. Comme déjà relevé plus haut, s'il avait été recherché activement par le CID, il n'aurait pas franchi sans encombre les contrôles effectués à l'aéroport de Colombo. Rien ne permet non plus d'affirmer que le recourant, s'il coopère activement à l'exécution du renvoi, serait astreint à un retour contraint dans son pays d'origine, de nature à susciter des soupçons particuliers à son encontre de la part des autorités sri-lankaises. Le seul fait d'avoir déposé une demande d'asile à l'étranger, singulièrement en Suisse, ne l'expose pas, en soi, à des traitements prohibés et le dossier ne fait en l'espèce apparaître aucun autre élément permettant d'admettre un risque personnel et réel à cet égard (cf. arrêt de principe E-6220/2006 du Tribunal administratif fédéral du 27 octobre 2011, consid. 8.4 et 10.4 ; voir aussi arrêts de la Cour européenne des droits de l'homme du 31 mai 2011 en la cause E.G. c/ Royaume-Uni, requête n° 41178/08 et du 17 juillet 2008, en la cause NA. c/ Royaume-Uni, requête n° 25904/07).</w:t>
      </w:r>
    </w:p>
    <w:p>
      <w:r>
        <w:rPr>
          <w:b/>
        </w:rPr>
        <w:t>E. 7.5</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Dans son arrêt de principe E-6220/2008 précité,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que définie dans la jurisprudence publiée (cf. ATAF 2008/2). Il considère désormais que l'exécution du renvoi est, en principe, raisonnablement exigible dans toute la province de l'Est (cf. consid. 13.1 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8.3</w:t>
      </w:r>
    </w:p>
    <w:p>
      <w:r>
        <w:t>En l'espèce, le recourant vient, selon ses déclarations, de (...), une ville située dans la province de l'Ouest, à une (...) de kilomètres au (...) de Colombo. Conformément à l'arrêt de principe précité, l'exécution du renvoi en cette région est considérée comme raisonnablement exigible (cf. ATAF 6220/2008 consid. 13.3). De surcroît, au vu des éléments figurant au dossier, force est de constater que l'intéressé dispose toujours, dans sa région d'origine, d'un important réseau familial et social. En outre, il doit également être admis que sa famille a les moyens de l'aider, à tout le moins dans un premier temps, à se loger et à s'assurer le minimum nécessaire pour subvenir à ses propres besoins. Ainsi, on peut considérer que, malgré les difficultés inhérentes à un retour dans son pays d'origine, le recourant pourra à nouveau compter sur le soutien de ses proches.</w:t>
      </w:r>
    </w:p>
    <w:p>
      <w:r>
        <w:rPr>
          <w:b/>
        </w:rPr>
        <w:t>E. 8.4</w:t>
      </w:r>
    </w:p>
    <w:p>
      <w:r>
        <w:t>En outre, il ne ressort du dossier aucun autre élément dont on pourrait inférer que l'exécution du renvoi impliquerait une mise en danger concrète du recourant. Celui-ci n'a pas allégué souffrir de problèmes de santé particuliers. Il est dans la force de l'âge et apte à travailler. Il bénéficie également d'une expérience professionnelle comme (...), soit autant de facteurs devant lui permettre de se réinstaller à (...) sans rencontrer de difficultés excessives.</w:t>
      </w:r>
    </w:p>
    <w:p>
      <w:r>
        <w:rPr>
          <w:b/>
        </w:rPr>
        <w:t>E. 8.5</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4 LEtr. (cf. ATAF 2008/34 consid. 12 p. 513-515).</w:t>
      </w:r>
    </w:p>
    <w:p>
      <w:r>
        <w:rPr>
          <w:b/>
        </w:rPr>
        <w:t>E. 10</w:t>
      </w:r>
    </w:p>
    <w:p>
      <w:r>
        <w:t>Il s'ensuit que le recours, en tant qu'il conteste la décision de renvoi et son exécution, doit être également rejeté.</w:t>
      </w:r>
    </w:p>
    <w:p>
      <w:r>
        <w:rPr>
          <w:b/>
        </w:rPr>
        <w:t>E. 11.1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11.2</w:t>
      </w:r>
    </w:p>
    <w:p>
      <w:r>
        <w:t>Compte tenu des circonstances particulières de l'espèce, il est exceptionnellement renoncé à la perception de frais de procédure (cf. art. 63 al. 1 i.f. PA). La demande d'assistance judiciaire partielle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