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E-1254/2012 vom 26. November 2013</w:t>
      </w:r>
    </w:p>
    <w:p>
      <w:r>
        <w:t>Bundesverwaltungsgericht, 2013-11-26, FR</w:t>
      </w:r>
    </w:p>
    <w:p>
      <w:r>
        <w:rPr>
          <w:b/>
        </w:rPr>
        <w:t xml:space="preserve">Quelle: </w:t>
      </w:r>
      <w:r>
        <w:t>https://mcp.opencaselaw.ch/entscheid/bvger_E-1254_2012</w:t>
      </w:r>
    </w:p>
    <w:p>
      <w:r>
        <w:t>FR: TAF E-1254/2012 du 26 novembre 2013</w:t>
      </w:r>
    </w:p>
    <w:p>
      <w:r>
        <w:t>IT: TAF E-1254/2012 del 26 novembre 2013</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dans le cas visé par l'art. 83 let. d ch. 1 de la loi du 17 juin 2005 sur le Tribunal fédéral [LTF, RS 173.110]), exception non réalisée en l'espèce.</w:t>
      </w:r>
    </w:p>
    <w:p>
      <w:r>
        <w:rPr>
          <w:b/>
        </w:rPr>
        <w:t>E. 1.2</w:t>
      </w:r>
    </w:p>
    <w:p>
      <w:r>
        <w:t>Le recourant a qualité pour recourir. Présenté dans la forme et dans le délai prescrits par la loi, le recours est recevable (art. 48 et 52 PA et art. 108 al. 1 LAsi).</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procéder à la fixation de délais de départ des requérants d'asile sri-lankais, d'ethnie tamoule, déboutés de leur demande et de supprimer les délais de départ déjà ordonnés. De facto, il procède dès lors à la reconsidération de toutes les affaires en cours (y compris celles qui se sont achevées par une décision exécutoire), sans qu'il soit tenu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d'arrestations précités, mais encore procéder à un examen minutieux de la situation générale au Sri Lanka, dans le but de prévenir la survenance d'autres éventuelles atteintes. Elle considère donc elle-même que l'état de fait, tel que retenu dans sa décision du 3 février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(art. 106 al. 1 let. b LAsi). Il se base généralement sur la situation régnant au moment où il statue (cf. ATAF 2012/21 consid. 5).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l'autorité inférieure, la partie se verrait privée en réalité de l'instance de recours. Le Tribunal doit donc, pour ces motifs, se limiter à valider ou compléter l'état de fait pertinent, tel qu'il a été retenu par l'ODM (cf. ATAF 2012/21 consid. 5; voir aussi arrêt du Tribunal administratif fédéral E-4157/2012 du 4 octobre 2012, consid. 4).</w:t>
      </w:r>
    </w:p>
    <w:p>
      <w:r>
        <w:rPr>
          <w:b/>
        </w:rPr>
        <w:t>E. 3.3</w:t>
      </w:r>
    </w:p>
    <w:p>
      <w:r>
        <w:t>Il découle de ce qui précède que la décision attaquée doit être annulée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Le recourant doit en l'espèce être considéré comme ayant obtenu gain de cause, dans la mesure où il est fait droit à sa conclusion tendant à l'annulation de la décision attaquée. En application des règles de calcul prévues dans la loi, vu les circonstances particulières et en prenant en considération les frais et le temps nécessaires à la défense de la partie, les dépens sont arrêtés au montant de 1'400 francs, que l'autorité de première instance est invitée à verser au recourant, en application de l'art. 64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