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E-1249/2012 vom 28. Oktober 2013</w:t>
      </w:r>
    </w:p>
    <w:p>
      <w:r>
        <w:t>Bundesverwaltungsgericht, 2013-10-28, DE</w:t>
      </w:r>
    </w:p>
    <w:p>
      <w:r>
        <w:rPr>
          <w:b/>
        </w:rPr>
        <w:t xml:space="preserve">Quelle: </w:t>
      </w:r>
      <w:r>
        <w:t>https://mcp.opencaselaw.ch/entscheid/bvger_E-1249_2012</w:t>
      </w:r>
    </w:p>
    <w:p>
      <w:r>
        <w:t>FR: TAF E-1249/2012 du 28 octobre 2013</w:t>
      </w:r>
    </w:p>
    <w:p>
      <w:r>
        <w:t>IT: TAF E-1249/2012 del 28 ottobre 2013</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Gemäss Art. 63 Abs. 2 AsylG widerruft das BFM das Asyl, wenn ein Flüchtling die innere oder die äussere Sicherheit der Schweiz verletzt hat oder gefährdet oder besonders verwerfliche strafbare Handlungen begangen hat. Ein derartiger Widerruf setzt gemäss konstanter Rechtsprechung eine qualifizierte Asylunwürdigkeit im Sinne von Art. 53 AsylG voraus; mithin muss die "besonders verwerfliche Handlung" qualitativ eine Stufe über der "verwerflichen Handlung" im Sinne von Art. 53 AsylG stehen. Die in Frage stehende Straftat muss demnach mit einer erheblichen Strafe bedroht sein und eine gewisse Intensität aufweisen. Zudem muss bei der Würdigung einer strafbaren Handlung als "besonders verwerflich" im Sinne von Art. 63 Abs. 2 AsylG der Grundsatz der Verhältnismässigkeit beachtet werden (vgl. Entscheidungen und Mitteilungen der Schweizerischen Asyl­rekurskommission [EMARK] 2003 Nr. 11). Nach aktueller Praxis gelten (weiterhin) diejenigen Taten als "verwerfliche Handlungen" im Sinne von Art. 53 AsylG, die mit einer Freiheitsstrafe von mehr als drei Jahren bedroht sind (vgl. dazu das Urteil D-2604/2012 vom 31. Mai 2012 E. 4.4).</w:t>
      </w:r>
    </w:p>
    <w:p>
      <w:r>
        <w:rPr>
          <w:b/>
        </w:rPr>
        <w:t>E. 6</w:t>
      </w:r>
    </w:p>
    <w:p>
      <w:r>
        <w:t>Der Beschwerdeführer hat Straftaten verübt, die in Anbetracht der Ausführungen in E. 5 als verwerflich im Sinne von Art. 53 AsylG zu erachten sind. Er wurde mit zweitinstanzlichem Urteil vom (...) Juli 2010 des Obergerichts des Kantons D._______ der mehrfachen Vergewaltigung, der mehrfachen sexuellen Nötigung, mehrfacher sexueller Handlungen mit Kindern sowie der Pornographie schuldig gesprochen und zu einer Freiheitstrafe von acht Jahren verurteilt. Darunter sind offenkundig Delikte, die als "verwerflich" im Sinne von Art. 53 AsylG zu qualifizieren sind. Bei Vergewaltigung, sexueller Nötigung und sexuellen Handlungen mit Kindern handelt es sich - insbesondere unter der Berücksichtigung der mehrfachen Begehung - zweifellos auch um "besonders" verwerfliche Taten im Sinne von Art. 63 Abs. 2 AsylG, was vom Beschwerdeführer denn auch nicht in Abrede gestellt wird. Die Verhältnismässigkeit des Asylwiderrufs im Sinne von EMARK 2003 Nr. 11 E. 7 S.75 ist angesichts der enormen Schwere der begangenen Taten und des Umstands, dass weder die Flüchtlingseigenschaft aberkannt noch die Wegweisung verfügt worden sind, ohne weiteres gegeben.</w:t>
      </w:r>
    </w:p>
    <w:p>
      <w:r>
        <w:rPr>
          <w:b/>
        </w:rPr>
        <w:t>E. 7</w:t>
      </w:r>
    </w:p>
    <w:p>
      <w:r>
        <w:t>Der Beschwerdeführer hat seine Beschwerde ausschliesslich damit begründet, dass er seine Unschuld beteuerte und bei den strafrechtlichen Verfahren, welche er durchlaufen hatte, Mängel kritisierte. Dem ist zu entgegnen, dass er von verschiedenen Instanzen rechtskräftig verurteilt worden ist. Für Urteilskritik, wie er sie vorbringt, besteht im vorliegenden Verfahren kein Raum. Allfällige Verfahrensmängel wären mit den entsprechend zur Verfügung stehenden Rechtsmitteln zu rügen gewesen. Die Beschwerde ans Bundesverwaltungsgericht kann dagegen nicht als weiteres Rechtsmittel in Strafsachen dienen. Genauso wenig kann der Einwand gehört werden, er habe sich trotz seiner Unschuld für schuldig bekannt. Das Bundesverwaltungsgericht ist an die rechtskräftigen Strafurteile und die darin enthaltenen tatbestandlichen Feststellungen gebunden. Somit kann die Beschwerdebegründung nicht zu einem andern Ergebnis führen.</w:t>
      </w:r>
    </w:p>
    <w:p>
      <w:r>
        <w:rPr>
          <w:b/>
        </w:rPr>
        <w:t>E. 8</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9</w:t>
      </w:r>
    </w:p>
    <w:p>
      <w:r>
        <w:t>Bei diesem Ausgang des Verfahrens sind die Kosten von Fr. 600,- dem Beschwerdeführer aufzuerlegen (Art. 37 VGG i.V.m. Art. 63 Abs. 1 VwVG; Art. 1-3 des Reglements vom 21. Februar 2008 über die Kosten und Entschädigungen vor dem Bundesverwaltungsgericht [VGKE, SR 173.320.2]). Dieser Betrag ist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